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CellMar>
          <w:left w:w="99" w:type="dxa"/>
          <w:right w:w="99" w:type="dxa"/>
        </w:tblCellMar>
        <w:tblLook w:val="0000" w:firstRow="0" w:lastRow="0" w:firstColumn="0" w:lastColumn="0" w:noHBand="0" w:noVBand="0"/>
      </w:tblPr>
      <w:tblGrid>
        <w:gridCol w:w="525"/>
        <w:gridCol w:w="3543"/>
        <w:gridCol w:w="6521"/>
      </w:tblGrid>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w:t>
            </w:r>
          </w:p>
        </w:tc>
        <w:tc>
          <w:tcPr>
            <w:tcW w:w="3543" w:type="dxa"/>
            <w:shd w:val="clear" w:color="auto" w:fill="auto"/>
          </w:tcPr>
          <w:p>
            <w: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613453466" r:id="rId9"/>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これから，プログラミング教育に関する校内研修</w:t>
            </w:r>
            <w:r>
              <w:rPr>
                <w:rFonts w:asciiTheme="minorEastAsia" w:hAnsiTheme="minorEastAsia" w:cs="Calibri"/>
                <w:kern w:val="24"/>
                <w:sz w:val="24"/>
                <w:szCs w:val="24"/>
              </w:rPr>
              <w:t>&lt;</w:t>
            </w:r>
            <w:r>
              <w:rPr>
                <w:rFonts w:asciiTheme="minorEastAsia" w:hAnsiTheme="minorEastAsia" w:cs="ＭＳ Ｐゴシック" w:hint="eastAsia"/>
                <w:kern w:val="24"/>
                <w:sz w:val="24"/>
                <w:szCs w:val="24"/>
                <w:lang w:val="ja-JP"/>
              </w:rPr>
              <w:t>ステップ２</w:t>
            </w:r>
            <w:r>
              <w:rPr>
                <w:rFonts w:asciiTheme="minorEastAsia" w:hAnsiTheme="minorEastAsia" w:cs="Calibri"/>
                <w:kern w:val="24"/>
                <w:sz w:val="24"/>
                <w:szCs w:val="24"/>
              </w:rPr>
              <w:t>&gt;</w:t>
            </w:r>
            <w:r>
              <w:rPr>
                <w:rFonts w:asciiTheme="minorEastAsia" w:hAnsiTheme="minorEastAsia" w:cs="ＭＳ Ｐゴシック" w:hint="eastAsia"/>
                <w:kern w:val="24"/>
                <w:sz w:val="24"/>
                <w:szCs w:val="24"/>
                <w:lang w:val="ja-JP"/>
              </w:rPr>
              <w:t>を始めます。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2</w:t>
            </w:r>
          </w:p>
        </w:tc>
        <w:tc>
          <w:tcPr>
            <w:tcW w:w="3543" w:type="dxa"/>
            <w:shd w:val="clear" w:color="auto" w:fill="auto"/>
          </w:tcPr>
          <w:p>
            <w:r>
              <w:object w:dxaOrig="7202" w:dyaOrig="5399">
                <v:shape id="_x0000_i1026"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6" DrawAspect="Content" ObjectID="_1613453467" r:id="rId11"/>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lang w:val="ja-JP"/>
              </w:rPr>
            </w:pPr>
            <w:r>
              <w:rPr>
                <w:rFonts w:asciiTheme="minorEastAsia" w:hAnsiTheme="minorEastAsia" w:cs="ＭＳ Ｐゴシック" w:hint="eastAsia"/>
                <w:kern w:val="24"/>
                <w:sz w:val="24"/>
                <w:szCs w:val="24"/>
                <w:lang w:val="ja-JP"/>
              </w:rPr>
              <w:t>ステップ２の研修のねらいは，「</w:t>
            </w:r>
            <w:r>
              <w:rPr>
                <w:rFonts w:asciiTheme="minorEastAsia" w:hAnsiTheme="minorEastAsia" w:cs="HG丸ｺﾞｼｯｸM-PRO" w:hint="eastAsia"/>
                <w:color w:val="262626"/>
                <w:kern w:val="24"/>
                <w:sz w:val="24"/>
                <w:szCs w:val="24"/>
                <w:lang w:val="ja-JP"/>
              </w:rPr>
              <w:t>プログラミング教育を取り入れた授業のイメージを持とう！</w:t>
            </w:r>
            <w:r>
              <w:rPr>
                <w:rFonts w:asciiTheme="minorEastAsia" w:hAnsiTheme="minorEastAsia" w:cs="ＭＳ Ｐゴシック" w:hint="eastAsia"/>
                <w:kern w:val="24"/>
                <w:sz w:val="24"/>
                <w:szCs w:val="24"/>
                <w:lang w:val="ja-JP"/>
              </w:rPr>
              <w:t>」です。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3</w:t>
            </w:r>
          </w:p>
        </w:tc>
        <w:tc>
          <w:tcPr>
            <w:tcW w:w="3543" w:type="dxa"/>
            <w:shd w:val="clear" w:color="auto" w:fill="auto"/>
          </w:tcPr>
          <w:p>
            <w:r>
              <w:rPr>
                <w:kern w:val="0"/>
              </w:rPr>
              <w:object w:dxaOrig="3240" w:dyaOrig="2430">
                <v:shape id="_x0000_i1042" type="#_x0000_t75" style="width:162pt;height:1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2" DrawAspect="Content" ObjectID="_1613453468" r:id="rId13"/>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以上のような内容で進めていきます。</w:t>
            </w:r>
          </w:p>
          <w:p>
            <w:pPr>
              <w:autoSpaceDE w:val="0"/>
              <w:autoSpaceDN w:val="0"/>
              <w:adjustRightInd w:val="0"/>
              <w:jc w:val="left"/>
              <w:rPr>
                <w:rFonts w:asciiTheme="minorEastAsia" w:hAnsiTheme="minorEastAsia" w:cs="ＭＳ Ｐゴシック"/>
                <w:kern w:val="24"/>
                <w:sz w:val="24"/>
                <w:szCs w:val="24"/>
                <w:lang w:val="ja-JP"/>
              </w:rPr>
            </w:pPr>
            <w:r>
              <w:rPr>
                <w:rFonts w:asciiTheme="minorEastAsia" w:hAnsiTheme="minorEastAsia" w:cs="ＭＳ Ｐゴシック" w:hint="eastAsia"/>
                <w:kern w:val="24"/>
                <w:sz w:val="24"/>
                <w:szCs w:val="24"/>
                <w:lang w:val="ja-JP"/>
              </w:rPr>
              <w:t>配布したワークシートにメモを取っても構いません。</w:t>
            </w:r>
          </w:p>
          <w:p>
            <w:pPr>
              <w:autoSpaceDE w:val="0"/>
              <w:autoSpaceDN w:val="0"/>
              <w:adjustRightInd w:val="0"/>
              <w:jc w:val="left"/>
              <w:rPr>
                <w:rFonts w:asciiTheme="minorEastAsia" w:hAnsiTheme="minorEastAsia" w:cs="Calibri"/>
                <w:kern w:val="24"/>
                <w:sz w:val="24"/>
                <w:szCs w:val="24"/>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4</w:t>
            </w:r>
          </w:p>
        </w:tc>
        <w:tc>
          <w:tcPr>
            <w:tcW w:w="3543" w:type="dxa"/>
            <w:shd w:val="clear" w:color="auto" w:fill="auto"/>
          </w:tcPr>
          <w:p>
            <w:r>
              <w:rPr>
                <w:kern w:val="0"/>
              </w:rPr>
              <w:object w:dxaOrig="3240" w:dyaOrig="2430">
                <v:shape id="_x0000_i1044"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4" DrawAspect="Content" ObjectID="_1613453469" r:id="rId15"/>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HG丸ｺﾞｼｯｸM-PRO" w:hint="eastAsia"/>
                <w:color w:val="262626"/>
                <w:kern w:val="24"/>
                <w:sz w:val="24"/>
                <w:szCs w:val="24"/>
                <w:lang w:val="ja-JP"/>
              </w:rPr>
              <w:t>はじめに，プログラミング教育を取り入れた模擬</w:t>
            </w:r>
            <w:r>
              <w:rPr>
                <w:rFonts w:asciiTheme="minorEastAsia" w:hAnsiTheme="minorEastAsia" w:cs="ＭＳ Ｐゴシック" w:hint="eastAsia"/>
                <w:kern w:val="24"/>
                <w:sz w:val="24"/>
                <w:szCs w:val="24"/>
                <w:lang w:val="ja-JP"/>
              </w:rPr>
              <w:t>授業動画を見ていきましょう。</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授業のねらい等を確認しましょう。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5</w:t>
            </w:r>
          </w:p>
        </w:tc>
        <w:tc>
          <w:tcPr>
            <w:tcW w:w="3543" w:type="dxa"/>
            <w:shd w:val="clear" w:color="auto" w:fill="auto"/>
          </w:tcPr>
          <w:p>
            <w:r>
              <w:object w:dxaOrig="7202" w:dyaOrig="5399">
                <v:shape id="_x0000_i1029"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9" DrawAspect="Content" ObjectID="_1613453470" r:id="rId17"/>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見るのは，平成</w:t>
            </w:r>
            <w:r>
              <w:rPr>
                <w:rFonts w:asciiTheme="minorEastAsia" w:hAnsiTheme="minorEastAsia" w:cs="Calibri"/>
                <w:kern w:val="24"/>
                <w:sz w:val="24"/>
                <w:szCs w:val="24"/>
              </w:rPr>
              <w:t>29</w:t>
            </w:r>
            <w:r>
              <w:rPr>
                <w:rFonts w:asciiTheme="minorEastAsia" w:hAnsiTheme="minorEastAsia" w:cs="ＭＳ Ｐゴシック" w:hint="eastAsia"/>
                <w:kern w:val="24"/>
                <w:sz w:val="24"/>
                <w:szCs w:val="24"/>
                <w:lang w:val="ja-JP"/>
              </w:rPr>
              <w:t>年に告示された小学校学習指導要領を受けて設定した，５年生，算数，「多角形と円をくわしく調べよう」の動画です。</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HG丸ｺﾞｼｯｸM-PRO" w:hint="eastAsia"/>
                <w:color w:val="262626"/>
                <w:kern w:val="24"/>
                <w:sz w:val="24"/>
                <w:szCs w:val="24"/>
                <w:lang w:val="ja-JP"/>
              </w:rPr>
              <w:t>正多角形の作図を行う学習で取り扱うよう，学習指導要領では示されていま</w:t>
            </w:r>
            <w:r>
              <w:rPr>
                <w:rFonts w:asciiTheme="minorEastAsia" w:hAnsiTheme="minorEastAsia" w:cs="ＭＳ Ｐゴシック" w:hint="eastAsia"/>
                <w:kern w:val="24"/>
                <w:sz w:val="24"/>
                <w:szCs w:val="24"/>
                <w:lang w:val="ja-JP"/>
              </w:rPr>
              <w:t>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lastRenderedPageBreak/>
              <w:t>スライド 6</w:t>
            </w:r>
          </w:p>
        </w:tc>
        <w:tc>
          <w:tcPr>
            <w:tcW w:w="3543" w:type="dxa"/>
            <w:shd w:val="clear" w:color="auto" w:fill="auto"/>
          </w:tcPr>
          <w:p>
            <w:r>
              <w:object w:dxaOrig="7202" w:dyaOrig="5399">
                <v:shape id="_x0000_i1030"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0" DrawAspect="Content" ObjectID="_1613453471" r:id="rId19"/>
              </w:object>
            </w:r>
          </w:p>
        </w:tc>
        <w:tc>
          <w:tcPr>
            <w:tcW w:w="6521" w:type="dxa"/>
            <w:shd w:val="clear" w:color="auto" w:fill="auto"/>
          </w:tcPr>
          <w:p>
            <w:pPr>
              <w:autoSpaceDE w:val="0"/>
              <w:autoSpaceDN w:val="0"/>
              <w:adjustRightInd w:val="0"/>
              <w:jc w:val="left"/>
              <w:rPr>
                <w:rFonts w:asciiTheme="minorEastAsia" w:hAnsiTheme="minorEastAsia" w:cs="Century"/>
                <w:color w:val="000000"/>
                <w:sz w:val="24"/>
                <w:szCs w:val="24"/>
              </w:rPr>
            </w:pPr>
            <w:r>
              <w:rPr>
                <w:rFonts w:asciiTheme="minorEastAsia" w:hAnsiTheme="minorEastAsia" w:cs="ＭＳ Ｐゴシック" w:hint="eastAsia"/>
                <w:kern w:val="24"/>
                <w:sz w:val="24"/>
                <w:szCs w:val="24"/>
                <w:lang w:val="ja-JP"/>
              </w:rPr>
              <w:t>この授業のねらいは，「</w:t>
            </w:r>
            <w:r>
              <w:rPr>
                <w:rFonts w:asciiTheme="minorEastAsia" w:hAnsiTheme="minorEastAsia" w:cs="HG丸ｺﾞｼｯｸM-PRO" w:hint="eastAsia"/>
                <w:color w:val="000000"/>
                <w:sz w:val="24"/>
                <w:szCs w:val="24"/>
                <w:lang w:val="ja-JP"/>
              </w:rPr>
              <w:t>いろいろな正多角形をかくことを通して，正多角形の性質の理解を深める」ことです。</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正多角形の性質，正多角形の作図を学習した後の，小単元のまとめにあたる授業として設定しています。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7</w:t>
            </w:r>
          </w:p>
        </w:tc>
        <w:tc>
          <w:tcPr>
            <w:tcW w:w="3543" w:type="dxa"/>
            <w:shd w:val="clear" w:color="auto" w:fill="auto"/>
          </w:tcPr>
          <w:p>
            <w:r>
              <w:object w:dxaOrig="7202" w:dyaOrig="5399">
                <v:shape id="_x0000_i1031"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1" DrawAspect="Content" ObjectID="_1613453472" r:id="rId21"/>
              </w:object>
            </w:r>
          </w:p>
        </w:tc>
        <w:tc>
          <w:tcPr>
            <w:tcW w:w="6521" w:type="dxa"/>
            <w:shd w:val="clear" w:color="auto" w:fill="auto"/>
          </w:tcPr>
          <w:p>
            <w:pPr>
              <w:autoSpaceDE w:val="0"/>
              <w:autoSpaceDN w:val="0"/>
              <w:adjustRightInd w:val="0"/>
              <w:jc w:val="left"/>
              <w:rPr>
                <w:rFonts w:asciiTheme="minorEastAsia" w:hAnsiTheme="minorEastAsia" w:cs="Century"/>
                <w:color w:val="000000"/>
                <w:sz w:val="24"/>
                <w:szCs w:val="24"/>
              </w:rPr>
            </w:pPr>
            <w:r>
              <w:rPr>
                <w:rFonts w:asciiTheme="minorEastAsia" w:hAnsiTheme="minorEastAsia" w:cs="ＭＳ Ｐゴシック" w:hint="eastAsia"/>
                <w:kern w:val="24"/>
                <w:sz w:val="24"/>
                <w:szCs w:val="24"/>
                <w:lang w:val="ja-JP"/>
              </w:rPr>
              <w:t>本時の授業で育成を目指すプログラミング教育の資質・能力は，「プログラミング的思考」の「反復」</w:t>
            </w:r>
            <w:r>
              <w:rPr>
                <w:rFonts w:asciiTheme="minorEastAsia" w:hAnsiTheme="minorEastAsia" w:cs="HG丸ｺﾞｼｯｸM-PRO" w:hint="eastAsia"/>
                <w:color w:val="000000"/>
                <w:sz w:val="24"/>
                <w:szCs w:val="24"/>
                <w:lang w:val="ja-JP"/>
              </w:rPr>
              <w:t>です。</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「反復」とは，何だったでしょうか。</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8</w:t>
            </w:r>
          </w:p>
          <w:p>
            <w:pPr>
              <w:jc w:val="center"/>
              <w:rPr>
                <w:rFonts w:asciiTheme="minorEastAsia" w:hAnsiTheme="minorEastAsia"/>
              </w:rPr>
            </w:pPr>
            <w:r>
              <w:rPr>
                <w:rFonts w:asciiTheme="minorEastAsia" w:hAnsiTheme="minorEastAsia" w:hint="eastAsia"/>
              </w:rPr>
              <w:t>9</w:t>
            </w:r>
          </w:p>
        </w:tc>
        <w:tc>
          <w:tcPr>
            <w:tcW w:w="3543" w:type="dxa"/>
            <w:shd w:val="clear" w:color="auto" w:fill="auto"/>
          </w:tcPr>
          <w:p>
            <w:r>
              <w:object w:dxaOrig="7202" w:dyaOrig="5399">
                <v:shape id="_x0000_i1032"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2" DrawAspect="Content" ObjectID="_1613453473" r:id="rId23"/>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明朝" w:hint="eastAsia"/>
                <w:kern w:val="24"/>
                <w:sz w:val="24"/>
                <w:szCs w:val="24"/>
                <w:lang w:val="ja-JP"/>
              </w:rPr>
              <w:t>プログラミング教育を授業に取り入れやすくするために，</w:t>
            </w:r>
          </w:p>
          <w:p>
            <w:pPr>
              <w:autoSpaceDE w:val="0"/>
              <w:autoSpaceDN w:val="0"/>
              <w:adjustRightInd w:val="0"/>
              <w:jc w:val="left"/>
              <w:rPr>
                <w:rFonts w:asciiTheme="minorEastAsia" w:hAnsiTheme="minorEastAsia" w:cs="Arial"/>
                <w:kern w:val="0"/>
                <w:sz w:val="24"/>
                <w:szCs w:val="24"/>
                <w:lang w:val="ja-JP"/>
              </w:rPr>
            </w:pPr>
            <w:r>
              <w:rPr>
                <w:rFonts w:asciiTheme="minorEastAsia" w:hAnsiTheme="minorEastAsia" w:cs="Arial" w:hint="eastAsia"/>
                <w:kern w:val="0"/>
                <w:sz w:val="24"/>
                <w:szCs w:val="24"/>
                <w:lang w:val="ja-JP"/>
              </w:rPr>
              <w:t>（▼クリック）</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明朝" w:hint="eastAsia"/>
                <w:kern w:val="24"/>
                <w:sz w:val="24"/>
                <w:szCs w:val="24"/>
                <w:lang w:val="ja-JP"/>
              </w:rPr>
              <w:t>３つの</w:t>
            </w:r>
            <w:r>
              <w:rPr>
                <w:rFonts w:asciiTheme="minorEastAsia" w:hAnsiTheme="minorEastAsia" w:cs="ＭＳ Ｐゴシック" w:hint="eastAsia"/>
                <w:kern w:val="24"/>
                <w:sz w:val="24"/>
                <w:szCs w:val="24"/>
                <w:lang w:val="ja-JP"/>
              </w:rPr>
              <w:t>資質・能力を，７つの項目に分けました。</w:t>
            </w: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10</w:t>
            </w:r>
          </w:p>
        </w:tc>
        <w:tc>
          <w:tcPr>
            <w:tcW w:w="3543" w:type="dxa"/>
            <w:shd w:val="clear" w:color="auto" w:fill="auto"/>
          </w:tcPr>
          <w:p>
            <w:pPr>
              <w:rPr>
                <w:rFonts w:asciiTheme="minorEastAsia" w:hAnsiTheme="minorEastAsia"/>
              </w:rPr>
            </w:pPr>
            <w:r>
              <w:rPr>
                <w:rFonts w:asciiTheme="minorEastAsia" w:hAnsiTheme="minorEastAsia"/>
              </w:rPr>
              <w:object w:dxaOrig="7202" w:dyaOrig="5399">
                <v:shape id="_x0000_i1033" type="#_x0000_t75" style="width:162.75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3" DrawAspect="Content" ObjectID="_1613453474" r:id="rId25"/>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その「思考力，判断力，表現力等」の１つが，プログラミング的思考の「反復」です。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11</w:t>
            </w:r>
          </w:p>
        </w:tc>
        <w:tc>
          <w:tcPr>
            <w:tcW w:w="3543" w:type="dxa"/>
            <w:shd w:val="clear" w:color="auto" w:fill="auto"/>
          </w:tcPr>
          <w:p>
            <w:r>
              <w:object w:dxaOrig="7202" w:dyaOrig="5399">
                <v:shape id="_x0000_i1034"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4" DrawAspect="Content" ObjectID="_1613453475" r:id="rId27"/>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「反復」は，ステップ１で体験したように，指定された条件や回数を満たすまで繰り返し実行することを表すものでした。</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lastRenderedPageBreak/>
              <w:t>スライド 12</w:t>
            </w:r>
          </w:p>
        </w:tc>
        <w:tc>
          <w:tcPr>
            <w:tcW w:w="3543" w:type="dxa"/>
            <w:shd w:val="clear" w:color="auto" w:fill="auto"/>
          </w:tcPr>
          <w:p>
            <w:r>
              <w:object w:dxaOrig="7202" w:dyaOrig="5399">
                <v:shape id="_x0000_i1035"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5" DrawAspect="Content" ObjectID="_1613453476" r:id="rId29"/>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プログラミング的思考の「反復」を意識しながら，授業動画を見てみましょう。</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（動画が終わったら）</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プログラミングを利用することで，作図が苦手な児童でも簡単に，いろいろな正多角形をかくことができるので，達成感を味わうことができる「授業例」です。</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動画を見てイメージが持てたか，感想等を隣の人と自由に意見交換してみてください。</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（数名の先生に感想等を発表してもらう）</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ＭＳ Ｐゴシック"/>
                <w:kern w:val="24"/>
                <w:sz w:val="24"/>
                <w:szCs w:val="24"/>
                <w:lang w:val="ja-JP"/>
              </w:rPr>
            </w:pPr>
            <w:r>
              <w:rPr>
                <w:rFonts w:asciiTheme="minorEastAsia" w:hAnsiTheme="minorEastAsia" w:cs="ＭＳ Ｐゴシック" w:hint="eastAsia"/>
                <w:kern w:val="24"/>
                <w:sz w:val="24"/>
                <w:szCs w:val="24"/>
                <w:lang w:val="ja-JP"/>
              </w:rPr>
              <w:t>それでは，もう少し詳しく授業をイメージしてもらうために，</w:t>
            </w:r>
          </w:p>
          <w:p>
            <w:pPr>
              <w:autoSpaceDE w:val="0"/>
              <w:autoSpaceDN w:val="0"/>
              <w:adjustRightInd w:val="0"/>
              <w:jc w:val="left"/>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13</w:t>
            </w:r>
          </w:p>
        </w:tc>
        <w:tc>
          <w:tcPr>
            <w:tcW w:w="3543" w:type="dxa"/>
            <w:shd w:val="clear" w:color="auto" w:fill="auto"/>
          </w:tcPr>
          <w:p>
            <w:r>
              <w:rPr>
                <w:kern w:val="0"/>
              </w:rPr>
              <w:object w:dxaOrig="3240" w:dyaOrig="2430">
                <v:shape id="_x0000_i1046"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46" DrawAspect="Content" ObjectID="_1613453477" r:id="rId31"/>
              </w:objec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今見た動画と同じ時間の模擬授業を行います。</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（実施委員）が教師役で，みなさんは児童役です。</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模擬授業は，展開部のプログラミングでの作図を中心に行います。</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手元のワークシートを使います。また，プログラミングソフトの準備をします。</w:t>
            </w: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14</w:t>
            </w:r>
          </w:p>
        </w:tc>
        <w:tc>
          <w:tcPr>
            <w:tcW w:w="3543" w:type="dxa"/>
            <w:shd w:val="clear" w:color="auto" w:fill="auto"/>
          </w:tcPr>
          <w:p>
            <w:r>
              <w:object w:dxaOrig="7202" w:dyaOrig="5399">
                <v:shape id="_x0000_i1037"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7" DrawAspect="Content" ObjectID="_1613453478" r:id="rId33"/>
              </w:object>
            </w:r>
          </w:p>
          <w:p>
            <w:pPr>
              <w:rPr>
                <w:rFonts w:asciiTheme="majorEastAsia" w:eastAsiaTheme="majorEastAsia" w:hAnsiTheme="majorEastAsia"/>
                <w:sz w:val="24"/>
                <w:szCs w:val="24"/>
              </w:rPr>
            </w:pPr>
            <w:r>
              <w:rPr>
                <w:rFonts w:asciiTheme="majorEastAsia" w:eastAsiaTheme="majorEastAsia" w:hAnsiTheme="majorEastAsia" w:hint="eastAsia"/>
                <w:sz w:val="24"/>
                <w:szCs w:val="24"/>
              </w:rPr>
              <w:t>【このスライドが終了したら，研修スライドを閉じ，模擬授業体験データの画面で説明する】</w:t>
            </w:r>
          </w:p>
        </w:tc>
        <w:tc>
          <w:tcPr>
            <w:tcW w:w="6521" w:type="dxa"/>
            <w:shd w:val="clear" w:color="auto" w:fill="auto"/>
          </w:tcPr>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模擬授業を始めます。</w:t>
            </w:r>
          </w:p>
          <w:p>
            <w:pPr>
              <w:autoSpaceDE w:val="0"/>
              <w:autoSpaceDN w:val="0"/>
              <w:adjustRightInd w:val="0"/>
              <w:jc w:val="left"/>
              <w:rPr>
                <w:rFonts w:asciiTheme="majorEastAsia" w:eastAsiaTheme="majorEastAsia" w:hAnsiTheme="majorEastAsia" w:cs="ＭＳ ゴシック"/>
                <w:kern w:val="24"/>
                <w:sz w:val="24"/>
                <w:szCs w:val="24"/>
              </w:rPr>
            </w:pPr>
            <w:r>
              <w:rPr>
                <w:rFonts w:asciiTheme="majorEastAsia" w:eastAsiaTheme="majorEastAsia" w:hAnsiTheme="majorEastAsia" w:cs="ＭＳ ゴシック" w:hint="eastAsia"/>
                <w:kern w:val="24"/>
                <w:sz w:val="24"/>
                <w:szCs w:val="24"/>
              </w:rPr>
              <w:t>【</w:t>
            </w:r>
            <w:r>
              <w:rPr>
                <w:rFonts w:asciiTheme="majorEastAsia" w:eastAsiaTheme="majorEastAsia" w:hAnsiTheme="majorEastAsia" w:cs="ＭＳ ゴシック" w:hint="eastAsia"/>
                <w:kern w:val="24"/>
                <w:sz w:val="24"/>
                <w:szCs w:val="24"/>
                <w:lang w:val="ja-JP"/>
              </w:rPr>
              <w:t>ここからは，先生方と一緒に模擬授業体験データを開いて説明する</w:t>
            </w:r>
            <w:r>
              <w:rPr>
                <w:rFonts w:asciiTheme="majorEastAsia" w:eastAsiaTheme="majorEastAsia" w:hAnsiTheme="majorEastAsia" w:cs="ＭＳ ゴシック" w:hint="eastAsia"/>
                <w:kern w:val="24"/>
                <w:sz w:val="24"/>
                <w:szCs w:val="24"/>
              </w:rPr>
              <w:t>】</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（模擬授業が終わったら）</w:t>
            </w:r>
          </w:p>
          <w:p>
            <w:pPr>
              <w:autoSpaceDE w:val="0"/>
              <w:autoSpaceDN w:val="0"/>
              <w:adjustRightInd w:val="0"/>
              <w:jc w:val="left"/>
              <w:rPr>
                <w:rFonts w:asciiTheme="minorEastAsia" w:hAnsiTheme="minorEastAsia" w:cs="Arial"/>
                <w:kern w:val="0"/>
                <w:sz w:val="24"/>
                <w:szCs w:val="24"/>
                <w:lang w:val="ja-JP"/>
              </w:rPr>
            </w:pPr>
            <w:r>
              <w:rPr>
                <w:rFonts w:asciiTheme="minorEastAsia" w:hAnsiTheme="minorEastAsia" w:cs="ＭＳ Ｐゴシック" w:hint="eastAsia"/>
                <w:kern w:val="24"/>
                <w:sz w:val="24"/>
                <w:szCs w:val="24"/>
                <w:lang w:val="ja-JP"/>
              </w:rPr>
              <w:t>正多角形の学習に，プログラミング教育を取り入れた「例」です。みなさんなら，「こうやってみたい」「こうやった方がよい」等，いろいろなアイデアが思い浮かぶのではないでしょうか。</w:t>
            </w: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lastRenderedPageBreak/>
              <w:t>スライド 15</w:t>
            </w:r>
          </w:p>
        </w:tc>
        <w:tc>
          <w:tcPr>
            <w:tcW w:w="3543" w:type="dxa"/>
            <w:shd w:val="clear" w:color="auto" w:fill="auto"/>
          </w:tcPr>
          <w:p>
            <w:r>
              <w:rPr>
                <w:rFonts w:asciiTheme="majorEastAsia" w:eastAsiaTheme="majorEastAsia" w:hAnsiTheme="majorEastAsia" w:hint="eastAsia"/>
                <w:sz w:val="24"/>
                <w:szCs w:val="24"/>
              </w:rPr>
              <w:t>【模擬授業が終わったら体験データの画面を閉じ，研修スライドの画面で説明する】</w:t>
            </w:r>
          </w:p>
          <w:p>
            <w:r>
              <w:rPr>
                <w:kern w:val="0"/>
              </w:rPr>
              <w:object w:dxaOrig="3240" w:dyaOrig="2430">
                <v:shape id="_x0000_i1048"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8" DrawAspect="Content" ObjectID="_1613453479" r:id="rId35"/>
              </w:object>
            </w:r>
            <w:bookmarkStart w:id="0" w:name="_GoBack"/>
            <w:bookmarkEnd w:id="0"/>
          </w:p>
        </w:tc>
        <w:tc>
          <w:tcPr>
            <w:tcW w:w="6521" w:type="dxa"/>
            <w:shd w:val="clear" w:color="auto" w:fill="auto"/>
          </w:tcPr>
          <w:p>
            <w:pPr>
              <w:autoSpaceDE w:val="0"/>
              <w:autoSpaceDN w:val="0"/>
              <w:adjustRightInd w:val="0"/>
              <w:jc w:val="left"/>
              <w:rPr>
                <w:rFonts w:asciiTheme="minorEastAsia" w:hAnsiTheme="minorEastAsia" w:cs="ＭＳ Ｐゴシック"/>
                <w:kern w:val="24"/>
                <w:sz w:val="24"/>
                <w:szCs w:val="24"/>
                <w:lang w:val="ja-JP"/>
              </w:rPr>
            </w:pPr>
          </w:p>
          <w:p>
            <w:pPr>
              <w:autoSpaceDE w:val="0"/>
              <w:autoSpaceDN w:val="0"/>
              <w:adjustRightInd w:val="0"/>
              <w:jc w:val="left"/>
              <w:rPr>
                <w:rFonts w:asciiTheme="minorEastAsia" w:hAnsiTheme="minorEastAsia" w:cs="ＭＳ Ｐゴシック"/>
                <w:kern w:val="24"/>
                <w:sz w:val="24"/>
                <w:szCs w:val="24"/>
                <w:lang w:val="ja-JP"/>
              </w:rPr>
            </w:pPr>
          </w:p>
          <w:p>
            <w:pPr>
              <w:autoSpaceDE w:val="0"/>
              <w:autoSpaceDN w:val="0"/>
              <w:adjustRightInd w:val="0"/>
              <w:jc w:val="left"/>
              <w:rPr>
                <w:rFonts w:asciiTheme="minorEastAsia" w:hAnsiTheme="minorEastAsia" w:cs="ＭＳ Ｐゴシック"/>
                <w:kern w:val="24"/>
                <w:sz w:val="24"/>
                <w:szCs w:val="24"/>
                <w:lang w:val="ja-JP"/>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振り返りに移ります。今日の研修で学んだことや，動画を見たり，模擬授業を体験したりした感想，または，こうするとよいというアイデア等，隣の人と自由に意見交換をしてみてください。</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（数名の先生方に感想等を発表してもらう。）</w:t>
            </w:r>
          </w:p>
          <w:p>
            <w:pPr>
              <w:autoSpaceDE w:val="0"/>
              <w:autoSpaceDN w:val="0"/>
              <w:adjustRightInd w:val="0"/>
              <w:jc w:val="left"/>
              <w:rPr>
                <w:rFonts w:asciiTheme="minorEastAsia" w:hAnsiTheme="minorEastAsia" w:cs="Calibri"/>
                <w:kern w:val="24"/>
                <w:sz w:val="24"/>
                <w:szCs w:val="24"/>
              </w:rPr>
            </w:pP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以上でステップ２の研修内容は終了です。</w:t>
            </w: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16</w:t>
            </w:r>
          </w:p>
        </w:tc>
        <w:tc>
          <w:tcPr>
            <w:tcW w:w="3543" w:type="dxa"/>
            <w:shd w:val="clear" w:color="auto" w:fill="auto"/>
          </w:tcPr>
          <w:p>
            <w:r>
              <w:object w:dxaOrig="7202" w:dyaOrig="5399">
                <v:shape id="_x0000_i1039"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9" DrawAspect="Content" ObjectID="_1613453480" r:id="rId37"/>
              </w:object>
            </w:r>
          </w:p>
        </w:tc>
        <w:tc>
          <w:tcPr>
            <w:tcW w:w="6521" w:type="dxa"/>
            <w:shd w:val="clear" w:color="auto" w:fill="auto"/>
          </w:tcPr>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kern w:val="24"/>
                <w:sz w:val="24"/>
                <w:szCs w:val="24"/>
                <w:lang w:val="ja-JP"/>
              </w:rPr>
              <w:t>次回行うステップ３の研修は，どのような教科にプログラミング教育を取り入れるか話し合い，それをもとにカリキュラムを考えるためのワークショップを行います。</w:t>
            </w:r>
          </w:p>
          <w:p>
            <w:pPr>
              <w:autoSpaceDE w:val="0"/>
              <w:autoSpaceDN w:val="0"/>
              <w:adjustRightInd w:val="0"/>
              <w:jc w:val="left"/>
              <w:rPr>
                <w:rFonts w:asciiTheme="minorEastAsia" w:hAnsiTheme="minorEastAsia" w:cs="ＭＳ 明朝"/>
                <w:kern w:val="24"/>
                <w:sz w:val="24"/>
                <w:szCs w:val="24"/>
              </w:rPr>
            </w:pPr>
          </w:p>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kern w:val="24"/>
                <w:sz w:val="24"/>
                <w:szCs w:val="24"/>
                <w:lang w:val="ja-JP"/>
              </w:rPr>
              <w:t>最後に，今回は算数の動画と模擬授業でしたが，プログラミング教育はいろいろな教科に取り入れることになります。「プログラミング教育校内研修ナビ」には，その他の教科の模擬授業動画や県内の実践授業動画もありますので，次回の研修会までの間，視聴してみてください。また，宮城県総合教育センターのＨＰには，「小学校プログラミング教育スタートパック」の学習活動例があります。さらに，ワークシートの裏面には，小学校プログラミング教育の実践事例があるＷｅｂサイトを載せてありますので，授業の参考にしてみてください。</w:t>
            </w:r>
          </w:p>
          <w:p>
            <w:pPr>
              <w:rPr>
                <w:rFonts w:asciiTheme="minorEastAsia" w:hAnsiTheme="minorEastAsia"/>
                <w:sz w:val="24"/>
                <w:szCs w:val="24"/>
              </w:rPr>
            </w:pPr>
          </w:p>
        </w:tc>
      </w:tr>
      <w:tr>
        <w:trPr>
          <w:trHeight w:val="2551"/>
        </w:trPr>
        <w:tc>
          <w:tcPr>
            <w:tcW w:w="525" w:type="dxa"/>
            <w:shd w:val="clear" w:color="auto" w:fill="auto"/>
          </w:tcPr>
          <w:p>
            <w:pPr>
              <w:jc w:val="center"/>
              <w:rPr>
                <w:rFonts w:asciiTheme="minorEastAsia" w:hAnsiTheme="minorEastAsia"/>
              </w:rPr>
            </w:pPr>
            <w:r>
              <w:rPr>
                <w:rFonts w:asciiTheme="minorEastAsia" w:hAnsiTheme="minorEastAsia" w:hint="eastAsia"/>
              </w:rPr>
              <w:t>スライド 17</w:t>
            </w:r>
          </w:p>
        </w:tc>
        <w:tc>
          <w:tcPr>
            <w:tcW w:w="3543" w:type="dxa"/>
            <w:shd w:val="clear" w:color="auto" w:fill="auto"/>
          </w:tcPr>
          <w:p>
            <w:r>
              <w:object w:dxaOrig="7202" w:dyaOrig="5399">
                <v:shape id="_x0000_i1040"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0" DrawAspect="Content" ObjectID="_1613453481" r:id="rId39"/>
              </w:object>
            </w:r>
          </w:p>
        </w:tc>
        <w:tc>
          <w:tcPr>
            <w:tcW w:w="6521" w:type="dxa"/>
            <w:shd w:val="clear" w:color="auto" w:fill="auto"/>
          </w:tcPr>
          <w:p>
            <w:pPr>
              <w:autoSpaceDE w:val="0"/>
              <w:autoSpaceDN w:val="0"/>
              <w:adjustRightInd w:val="0"/>
              <w:jc w:val="left"/>
              <w:rPr>
                <w:rFonts w:asciiTheme="minorEastAsia" w:hAnsiTheme="minorEastAsia" w:cs="ＭＳ Ｐゴシック"/>
                <w:kern w:val="24"/>
                <w:sz w:val="24"/>
                <w:szCs w:val="24"/>
                <w:lang w:val="ja-JP"/>
              </w:rPr>
            </w:pPr>
            <w:r>
              <w:rPr>
                <w:rFonts w:asciiTheme="minorEastAsia" w:hAnsiTheme="minorEastAsia" w:cs="ＭＳ Ｐゴシック" w:hint="eastAsia"/>
                <w:kern w:val="24"/>
                <w:sz w:val="24"/>
                <w:szCs w:val="24"/>
                <w:lang w:val="ja-JP"/>
              </w:rPr>
              <w:t>これで本日の研修は終了です。お疲れ様でした。</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Ｐゴシック" w:hint="eastAsia"/>
                <w:kern w:val="24"/>
                <w:sz w:val="24"/>
                <w:szCs w:val="24"/>
                <w:lang w:val="ja-JP"/>
              </w:rPr>
              <w:t>（アンケートをお願いする。回収は後からでもよい。）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sz w:val="24"/>
                <w:szCs w:val="24"/>
              </w:rPr>
            </w:pPr>
          </w:p>
        </w:tc>
      </w:tr>
    </w:tbl>
    <w:p/>
    <w:sectPr>
      <w:headerReference w:type="default" r:id="rId4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3"/>
    </w:pPr>
    <w:r>
      <w:rPr>
        <w:rFonts w:hint="eastAsia"/>
      </w:rPr>
      <w:t>ステップ２　進行資料</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348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481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PowerPoint_Slide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PowerPoint_Slide16.sldx"/><Relationship Id="rId3" Type="http://schemas.microsoft.com/office/2007/relationships/stylesWithEffects" Target="stylesWithEffects.xml"/><Relationship Id="rId21" Type="http://schemas.openxmlformats.org/officeDocument/2006/relationships/package" Target="embeddings/Microsoft_PowerPoint_Slide7.sldx"/><Relationship Id="rId34" Type="http://schemas.openxmlformats.org/officeDocument/2006/relationships/image" Target="media/image14.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6.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PowerPoint_Slide11.sldx"/><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Slide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PowerPoint_Slide15.sldx"/><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package" Target="embeddings/Microsoft_PowerPoint_Slide6.sldx"/><Relationship Id="rId31" Type="http://schemas.openxmlformats.org/officeDocument/2006/relationships/package" Target="embeddings/Microsoft_PowerPoint_Slide12.sldx"/><Relationship Id="rId4" Type="http://schemas.openxmlformats.org/officeDocument/2006/relationships/settings" Target="settings.xml"/><Relationship Id="rId9" Type="http://schemas.openxmlformats.org/officeDocument/2006/relationships/package" Target="embeddings/Microsoft_PowerPoint_Slide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PowerPoint_Slide10.sldx"/><Relationship Id="rId30" Type="http://schemas.openxmlformats.org/officeDocument/2006/relationships/image" Target="media/image12.emf"/><Relationship Id="rId35" Type="http://schemas.openxmlformats.org/officeDocument/2006/relationships/package" Target="embeddings/Microsoft_PowerPoint_Slide14.sld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CFCC1C-FA70-4DB9-A1BC-AFF651665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4</Pages>
  <Words>350</Words>
  <Characters>1997</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宮城県総合教育センター</Company>
  <LinksUpToDate>false</LinksUpToDate>
  <CharactersWithSpaces>2343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宮城県総合教育センター</dc:creator>
  <cp:lastModifiedBy>宮城県総合教育センター</cp:lastModifiedBy>
  <cp:revision>22</cp:revision>
  <dcterms:created xsi:type="dcterms:W3CDTF">2018-12-14T05:07:00Z</dcterms:created>
  <dcterms:modified xsi:type="dcterms:W3CDTF">2019-03-06T23:44:00Z</dcterms:modified>
</cp:coreProperties>
</file>