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567"/>
        <w:gridCol w:w="1701"/>
      </w:tblGrid>
      <w:tr w:rsidR="00471FA2" w:rsidTr="00B75426">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B75426">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471FA2" w:rsidRPr="00B75426" w:rsidRDefault="00471FA2" w:rsidP="00803C82">
            <w:pPr>
              <w:widowControl/>
              <w:jc w:val="center"/>
              <w:rPr>
                <w:rFonts w:hAnsi="ＭＳ 明朝" w:cs="ＭＳ Ｐゴシック"/>
                <w:kern w:val="0"/>
                <w:sz w:val="16"/>
                <w:szCs w:val="16"/>
              </w:rPr>
            </w:pPr>
            <w:r w:rsidRPr="00B75426">
              <w:rPr>
                <w:rFonts w:hAnsi="ＭＳ 明朝" w:cs="ＭＳ Ｐゴシック" w:hint="eastAsia"/>
                <w:kern w:val="0"/>
                <w:sz w:val="16"/>
                <w:szCs w:val="16"/>
              </w:rPr>
              <w:t>指導資料</w:t>
            </w:r>
          </w:p>
        </w:tc>
      </w:tr>
      <w:tr w:rsidR="00471FA2" w:rsidTr="00B75426">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r>
      <w:tr w:rsidR="00F72B72" w:rsidTr="00F72B72">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F72B72" w:rsidRPr="00F72B72" w:rsidRDefault="00F72B72" w:rsidP="00FA31E1">
            <w:pPr>
              <w:overflowPunct w:val="0"/>
              <w:spacing w:line="240" w:lineRule="exact"/>
              <w:ind w:left="180" w:hangingChars="100" w:hanging="180"/>
              <w:jc w:val="left"/>
              <w:textAlignment w:val="baseline"/>
              <w:rPr>
                <w:rFonts w:hAnsi="Times New Roman"/>
                <w:color w:val="000000"/>
                <w:spacing w:val="2"/>
                <w:kern w:val="0"/>
                <w:sz w:val="21"/>
                <w:szCs w:val="21"/>
              </w:rPr>
            </w:pPr>
            <w:r w:rsidRPr="00F72B72">
              <w:rPr>
                <w:rFonts w:hAnsi="ＭＳ 明朝" w:cs="ＭＳ 明朝" w:hint="eastAsia"/>
                <w:color w:val="000000"/>
                <w:kern w:val="0"/>
                <w:sz w:val="18"/>
                <w:szCs w:val="18"/>
              </w:rPr>
              <w:t>・</w:t>
            </w:r>
            <w:hyperlink r:id="rId7" w:history="1">
              <w:r w:rsidRPr="00BD56E2">
                <w:rPr>
                  <w:rStyle w:val="aa"/>
                  <w:rFonts w:hAnsi="ＭＳ 明朝" w:cs="ＭＳ 明朝" w:hint="eastAsia"/>
                  <w:kern w:val="0"/>
                  <w:sz w:val="18"/>
                  <w:szCs w:val="18"/>
                </w:rPr>
                <w:t>「知っておきたい放</w:t>
              </w:r>
              <w:bookmarkStart w:id="0" w:name="_GoBack"/>
              <w:bookmarkEnd w:id="0"/>
              <w:r w:rsidRPr="00BD56E2">
                <w:rPr>
                  <w:rStyle w:val="aa"/>
                  <w:rFonts w:hAnsi="ＭＳ 明朝" w:cs="ＭＳ 明朝" w:hint="eastAsia"/>
                  <w:kern w:val="0"/>
                  <w:sz w:val="18"/>
                  <w:szCs w:val="18"/>
                </w:rPr>
                <w:t>射</w:t>
              </w:r>
              <w:r w:rsidRPr="00BD56E2">
                <w:rPr>
                  <w:rStyle w:val="aa"/>
                  <w:rFonts w:hAnsi="ＭＳ 明朝" w:cs="ＭＳ 明朝" w:hint="eastAsia"/>
                  <w:kern w:val="0"/>
                  <w:sz w:val="18"/>
                  <w:szCs w:val="18"/>
                </w:rPr>
                <w:t>能のこと」　高校生のための放射線副読本</w:t>
              </w:r>
            </w:hyperlink>
            <w:r>
              <w:rPr>
                <w:rFonts w:hAnsi="ＭＳ 明朝" w:cs="ＭＳ 明朝" w:hint="eastAsia"/>
                <w:color w:val="000000"/>
                <w:kern w:val="0"/>
                <w:sz w:val="18"/>
                <w:szCs w:val="18"/>
              </w:rPr>
              <w:t xml:space="preserve">　　</w:t>
            </w:r>
            <w:r w:rsidRPr="00F72B72">
              <w:rPr>
                <w:rFonts w:hAnsi="ＭＳ 明朝" w:cs="ＭＳ 明朝"/>
                <w:color w:val="000000"/>
                <w:kern w:val="0"/>
                <w:sz w:val="18"/>
                <w:szCs w:val="18"/>
              </w:rPr>
              <w:t>(</w:t>
            </w:r>
            <w:r w:rsidRPr="00F72B72">
              <w:rPr>
                <w:rFonts w:hAnsi="ＭＳ 明朝" w:cs="ＭＳ 明朝" w:hint="eastAsia"/>
                <w:color w:val="000000"/>
                <w:kern w:val="0"/>
                <w:sz w:val="18"/>
                <w:szCs w:val="18"/>
              </w:rPr>
              <w:t>文部科学省</w:t>
            </w:r>
            <w:r w:rsidRPr="00F72B72">
              <w:rPr>
                <w:rFonts w:hAnsi="ＭＳ 明朝" w:cs="ＭＳ 明朝"/>
                <w:color w:val="000000"/>
                <w:kern w:val="0"/>
                <w:sz w:val="18"/>
                <w:szCs w:val="18"/>
              </w:rPr>
              <w:t>)</w:t>
            </w:r>
          </w:p>
          <w:p w:rsidR="00F72B72" w:rsidRDefault="00420B02" w:rsidP="00FA31E1">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Ansi="ＭＳ 明朝" w:cs="ＭＳ 明朝" w:hint="eastAsia"/>
                <w:color w:val="000000"/>
                <w:kern w:val="0"/>
                <w:sz w:val="18"/>
                <w:szCs w:val="18"/>
              </w:rPr>
              <w:t>・</w:t>
            </w:r>
            <w:hyperlink r:id="rId8" w:history="1">
              <w:r w:rsidRPr="00420B02">
                <w:rPr>
                  <w:rStyle w:val="aa"/>
                  <w:rFonts w:hAnsi="ＭＳ 明朝" w:cs="ＭＳ 明朝" w:hint="eastAsia"/>
                  <w:kern w:val="0"/>
                  <w:sz w:val="18"/>
                  <w:szCs w:val="18"/>
                </w:rPr>
                <w:t>放射線等に関する副読本</w:t>
              </w:r>
            </w:hyperlink>
            <w:r w:rsidRPr="00420B02">
              <w:rPr>
                <w:rFonts w:hAnsi="ＭＳ 明朝" w:cs="ＭＳ 明朝"/>
                <w:color w:val="000000"/>
                <w:kern w:val="0"/>
                <w:sz w:val="18"/>
                <w:szCs w:val="18"/>
              </w:rPr>
              <w:t>(</w:t>
            </w:r>
            <w:r w:rsidRPr="00420B02">
              <w:rPr>
                <w:rFonts w:hAnsi="ＭＳ 明朝" w:cs="ＭＳ 明朝" w:hint="eastAsia"/>
                <w:color w:val="000000"/>
                <w:kern w:val="0"/>
                <w:sz w:val="18"/>
                <w:szCs w:val="18"/>
              </w:rPr>
              <w:t>文部科学省</w:t>
            </w:r>
            <w:r w:rsidRPr="00420B02">
              <w:rPr>
                <w:rFonts w:hAnsi="ＭＳ 明朝" w:cs="ＭＳ 明朝"/>
                <w:color w:val="000000"/>
                <w:kern w:val="0"/>
                <w:sz w:val="18"/>
                <w:szCs w:val="18"/>
              </w:rPr>
              <w:t>)</w:t>
            </w:r>
          </w:p>
        </w:tc>
      </w:tr>
      <w:tr w:rsidR="00F72B72" w:rsidTr="00B75426">
        <w:trPr>
          <w:trHeight w:val="23"/>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F72B72" w:rsidRDefault="00F72B72" w:rsidP="0091116B">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原子力発電所に対しては，国による設置時の安全審査や日常の保安検査が行われているほか，安全協定に基づく県及び地元市町による立ち入り検査などの安全確認が行われている。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F72B72" w:rsidRDefault="00F72B72" w:rsidP="00AC7DF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原子力緊急事態等に備え，防災基本計画（国），地域防災計画（県，市町）が定められているほか，関係機関の拠点となる緊急事態応急対策等拠点施設（オフサイトセンター）が設置されている。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Pr="00AC7DFB" w:rsidRDefault="00F72B72" w:rsidP="00AC7DF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510"/>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F72B72" w:rsidRDefault="00F72B72" w:rsidP="00AC7DFB">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原子力災害は，地震や火災と異なり，五感に感じることができないので，どのような場合にどういった行動をとればよいのか自ら判断するのが困難である。国や地方自治体からの情報を聞き，指示に従って行動す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478"/>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F72B72" w:rsidRDefault="00F72B72"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single" w:sz="4" w:space="0" w:color="auto"/>
              <w:left w:val="nil"/>
              <w:bottom w:val="single" w:sz="4" w:space="0" w:color="auto"/>
              <w:right w:val="single" w:sz="4" w:space="0" w:color="auto"/>
            </w:tcBorders>
          </w:tcPr>
          <w:p w:rsidR="00F72B72" w:rsidRDefault="00F72B72" w:rsidP="00AC7DF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人などが放射線を受けることを「被ばく」という。着ている服や体の表面に放射性物質が付着している状態を「汚染」という。</w:t>
            </w:r>
          </w:p>
        </w:tc>
        <w:tc>
          <w:tcPr>
            <w:tcW w:w="430" w:type="dxa"/>
            <w:tcBorders>
              <w:top w:val="single" w:sz="4" w:space="0" w:color="auto"/>
              <w:left w:val="nil"/>
              <w:bottom w:val="single" w:sz="4" w:space="0" w:color="auto"/>
              <w:right w:val="single" w:sz="4" w:space="0" w:color="auto"/>
            </w:tcBorders>
            <w:noWrap/>
            <w:vAlign w:val="center"/>
          </w:tcPr>
          <w:p w:rsidR="00F72B72" w:rsidRDefault="00F72B72"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72B72" w:rsidRPr="00AC7DFB" w:rsidRDefault="00F72B72" w:rsidP="00AC7DF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882"/>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F72B72" w:rsidRDefault="00F72B72"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F72B72" w:rsidRDefault="00F72B72" w:rsidP="00471FA2">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single" w:sz="4" w:space="0" w:color="auto"/>
              <w:left w:val="nil"/>
              <w:bottom w:val="single" w:sz="4" w:space="0" w:color="auto"/>
              <w:right w:val="single" w:sz="4" w:space="0" w:color="auto"/>
            </w:tcBorders>
            <w:noWrap/>
            <w:vAlign w:val="center"/>
          </w:tcPr>
          <w:p w:rsidR="00F72B72" w:rsidRDefault="00F72B72"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72B72" w:rsidRDefault="00F72B72" w:rsidP="00AC7DF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F76002">
        <w:trPr>
          <w:trHeight w:val="19"/>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F76002">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F72B72" w:rsidRPr="00E20EBD"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F72B72" w:rsidRPr="00E20EBD"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Pr="00E20EBD"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F72B72" w:rsidRPr="00E20EBD" w:rsidRDefault="00F72B72" w:rsidP="00AC7DFB">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w:t>
            </w:r>
            <w:r>
              <w:rPr>
                <w:rFonts w:ascii="ＭＳ Ｐゴシック" w:eastAsia="ＭＳ Ｐゴシック" w:hAnsi="ＭＳ Ｐゴシック" w:cs="ＭＳ Ｐゴシック" w:hint="eastAsia"/>
                <w:kern w:val="0"/>
                <w:sz w:val="18"/>
                <w:szCs w:val="18"/>
              </w:rPr>
              <w:t>1.5</w:t>
            </w:r>
            <w:r w:rsidRPr="00C52A18">
              <w:rPr>
                <w:rFonts w:ascii="ＭＳ Ｐゴシック" w:eastAsia="ＭＳ Ｐゴシック" w:hAnsi="ＭＳ Ｐゴシック" w:cs="ＭＳ Ｐゴシック" w:hint="eastAsia"/>
                <w:kern w:val="0"/>
                <w:sz w:val="18"/>
                <w:szCs w:val="18"/>
              </w:rPr>
              <w:t>ミリシーベルトである。</w:t>
            </w:r>
          </w:p>
        </w:tc>
        <w:tc>
          <w:tcPr>
            <w:tcW w:w="430"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Pr="00E20EBD"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F72B72" w:rsidRPr="00E20EBD" w:rsidRDefault="00F72B72" w:rsidP="00471FA2">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575B1D">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Pr="00E20EBD"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F72B72" w:rsidRPr="00E20EBD" w:rsidRDefault="00F72B72" w:rsidP="00471FA2">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100ミリシーベルト以上の放射線を受けると発がんリスクが上昇することは分かっているが</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100ミリシーベルト未満の低い放射線を受けることで</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がんになるかどうかについては</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科学的に証明することが難しい。</w:t>
            </w:r>
          </w:p>
        </w:tc>
        <w:tc>
          <w:tcPr>
            <w:tcW w:w="430"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Pr="00E20EBD"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575B1D">
        <w:trPr>
          <w:trHeight w:val="31"/>
        </w:trPr>
        <w:tc>
          <w:tcPr>
            <w:tcW w:w="396" w:type="dxa"/>
            <w:vMerge w:val="restart"/>
            <w:tcBorders>
              <w:top w:val="nil"/>
              <w:left w:val="single" w:sz="4" w:space="0" w:color="auto"/>
              <w:bottom w:val="single" w:sz="4" w:space="0" w:color="auto"/>
              <w:right w:val="single" w:sz="4" w:space="0" w:color="auto"/>
            </w:tcBorders>
            <w:noWrap/>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vMerge w:val="restart"/>
            <w:tcBorders>
              <w:top w:val="nil"/>
              <w:left w:val="nil"/>
              <w:bottom w:val="single" w:sz="4" w:space="0" w:color="auto"/>
              <w:right w:val="nil"/>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F72B72" w:rsidRPr="0066384B" w:rsidRDefault="00F72B72" w:rsidP="00471FA2">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原子力緊急事態が発生したときは，国，県及び市町村からはテレビ，ラジオなどの通報手段により緊急通報がある。原子力災害は，目に見えない災害であること，時間の経過と被害が相関関係にあることから，被災地域や程度などの正しい情報により，適切な避難行動をと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F72B72" w:rsidRDefault="00F72B72" w:rsidP="0001335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原子力災害が発生した場合には，自治体等から示される正確な情報を待ち，その指示に従う。</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27"/>
        </w:trPr>
        <w:tc>
          <w:tcPr>
            <w:tcW w:w="396" w:type="dxa"/>
            <w:vMerge/>
            <w:tcBorders>
              <w:top w:val="nil"/>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コンクリート屋内退避の指示があったら，コンクリートでできた</w:t>
            </w:r>
            <w:r>
              <w:rPr>
                <w:rFonts w:ascii="ＭＳ Ｐゴシック" w:eastAsia="ＭＳ Ｐゴシック" w:hAnsi="ＭＳ Ｐゴシック" w:cs="ＭＳ Ｐゴシック" w:hint="eastAsia"/>
                <w:w w:val="90"/>
                <w:kern w:val="0"/>
                <w:sz w:val="18"/>
                <w:szCs w:val="18"/>
              </w:rPr>
              <w:t>公共施設などに避難し，一時的に生活の場を移すことになる。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放出された放射性物質によって飲料水や飲食物が汚染された場合，モニタリング検査に基づき飲料水，飲食物の摂取が制限される。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7E71B8">
        <w:trPr>
          <w:trHeight w:val="15"/>
        </w:trPr>
        <w:tc>
          <w:tcPr>
            <w:tcW w:w="396" w:type="dxa"/>
            <w:vMerge/>
            <w:tcBorders>
              <w:top w:val="nil"/>
              <w:left w:val="single" w:sz="4" w:space="0" w:color="auto"/>
              <w:bottom w:val="single" w:sz="4" w:space="0" w:color="auto"/>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nil"/>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F72B72" w:rsidRPr="00B75426"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sidRPr="00B75426">
              <w:rPr>
                <w:rFonts w:ascii="ＭＳ Ｐゴシック" w:eastAsia="ＭＳ Ｐゴシック" w:hAnsi="ＭＳ Ｐゴシック" w:cs="ＭＳ Ｐゴシック" w:hint="eastAsia"/>
                <w:kern w:val="0"/>
                <w:sz w:val="18"/>
                <w:szCs w:val="18"/>
              </w:rPr>
              <w:t>建物によるガンマ線の被曝低減係数は，外にいる場合を１とすると，木造家屋では０．９で，大きなコンクリートの建物の中は０．２以下となる。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7E71B8">
        <w:trPr>
          <w:trHeight w:val="12"/>
        </w:trPr>
        <w:tc>
          <w:tcPr>
            <w:tcW w:w="396" w:type="dxa"/>
            <w:vMerge w:val="restart"/>
            <w:tcBorders>
              <w:top w:val="nil"/>
              <w:left w:val="single" w:sz="4" w:space="0" w:color="auto"/>
              <w:bottom w:val="single" w:sz="4" w:space="0" w:color="000000"/>
              <w:right w:val="single" w:sz="4" w:space="0" w:color="auto"/>
            </w:tcBorders>
            <w:noWrap/>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253" w:type="dxa"/>
            <w:vMerge w:val="restart"/>
            <w:tcBorders>
              <w:top w:val="nil"/>
              <w:left w:val="single" w:sz="4" w:space="0" w:color="auto"/>
              <w:bottom w:val="single" w:sz="4" w:space="0" w:color="auto"/>
              <w:right w:val="nil"/>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原子力災害時の医療体制は，①初期被ばく医療，②二次被ばく医療，③三次被ばく医療の三段階に区分される。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F72B72" w:rsidRPr="00B75426" w:rsidRDefault="00F72B72" w:rsidP="00191A76">
            <w:pPr>
              <w:widowControl/>
              <w:spacing w:line="240" w:lineRule="exact"/>
              <w:jc w:val="left"/>
              <w:rPr>
                <w:rFonts w:ascii="ＭＳ Ｐゴシック" w:eastAsia="ＭＳ Ｐゴシック" w:hAnsi="ＭＳ Ｐゴシック" w:cs="ＭＳ Ｐゴシック"/>
                <w:kern w:val="0"/>
                <w:sz w:val="18"/>
                <w:szCs w:val="18"/>
              </w:rPr>
            </w:pPr>
            <w:r w:rsidRPr="00B75426">
              <w:rPr>
                <w:rFonts w:ascii="ＭＳ Ｐゴシック" w:eastAsia="ＭＳ Ｐゴシック" w:hAnsi="ＭＳ Ｐゴシック" w:cs="ＭＳ Ｐゴシック" w:hint="eastAsia"/>
                <w:kern w:val="0"/>
                <w:sz w:val="18"/>
                <w:szCs w:val="18"/>
              </w:rPr>
              <w:t>初期被ばく医療機関では，地域防災計画で指定されている避難所や医療機関等において，体表面の汚染測定や簡単な除染・救急医療を行う。</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9"/>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二次被ばく医療では，地域防災計画で指定されている医療機関において，外部汚染の除染，高線量被ばくや局所被ばく患者の体内汚染の診断や専門的な治療を行う。</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B75426">
        <w:trPr>
          <w:trHeight w:val="15"/>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F72B72" w:rsidRDefault="00F72B72" w:rsidP="00191A7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三次被ばく医療機関では，放射線医学総合研究所や広島大学が指定されており，重篤な被ばく患者の専門的な治療を行う。</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F72B72" w:rsidTr="00AE4DB9">
        <w:trPr>
          <w:trHeight w:val="19"/>
        </w:trPr>
        <w:tc>
          <w:tcPr>
            <w:tcW w:w="396" w:type="dxa"/>
            <w:vMerge/>
            <w:tcBorders>
              <w:top w:val="nil"/>
              <w:left w:val="single" w:sz="4" w:space="0" w:color="auto"/>
              <w:bottom w:val="single" w:sz="4" w:space="0" w:color="000000"/>
              <w:right w:val="single" w:sz="4" w:space="0" w:color="auto"/>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F72B72" w:rsidRDefault="00F72B72"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F72B72" w:rsidRDefault="00F72B72"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F72B72" w:rsidRDefault="00F72B72"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F72B72" w:rsidRDefault="00F72B72" w:rsidP="00471FA2">
            <w:pPr>
              <w:widowControl/>
              <w:spacing w:line="240" w:lineRule="exact"/>
              <w:jc w:val="center"/>
              <w:rPr>
                <w:rFonts w:ascii="ＭＳ ゴシック" w:eastAsia="ＭＳ ゴシック" w:hAnsi="ＭＳ ゴシック" w:cs="ＭＳ Ｐゴシック"/>
                <w:kern w:val="0"/>
                <w:sz w:val="16"/>
                <w:szCs w:val="16"/>
              </w:rPr>
            </w:pPr>
          </w:p>
        </w:tc>
      </w:tr>
      <w:tr w:rsidR="00AC7DFB" w:rsidTr="00AE4DB9">
        <w:trPr>
          <w:trHeight w:val="19"/>
        </w:trPr>
        <w:tc>
          <w:tcPr>
            <w:tcW w:w="396" w:type="dxa"/>
            <w:vMerge/>
            <w:tcBorders>
              <w:top w:val="nil"/>
              <w:left w:val="single" w:sz="4" w:space="0" w:color="auto"/>
              <w:bottom w:val="single" w:sz="4" w:space="0" w:color="000000"/>
              <w:right w:val="single" w:sz="4" w:space="0" w:color="auto"/>
            </w:tcBorders>
            <w:vAlign w:val="center"/>
          </w:tcPr>
          <w:p w:rsidR="00AC7DFB" w:rsidRDefault="00AC7DFB"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AC7DFB" w:rsidRDefault="00AC7DFB"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AC7DFB" w:rsidRDefault="00AC7DFB"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AC7DFB" w:rsidRDefault="00AC7DFB"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nil"/>
              <w:left w:val="nil"/>
              <w:bottom w:val="single" w:sz="4" w:space="0" w:color="auto"/>
              <w:right w:val="single" w:sz="4" w:space="0" w:color="auto"/>
            </w:tcBorders>
            <w:noWrap/>
            <w:vAlign w:val="center"/>
          </w:tcPr>
          <w:p w:rsidR="00AC7DFB" w:rsidRDefault="00AC7DF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AC7DFB" w:rsidRDefault="00AC7DF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tcBorders>
              <w:left w:val="nil"/>
              <w:bottom w:val="single" w:sz="4" w:space="0" w:color="auto"/>
              <w:right w:val="single" w:sz="4" w:space="0" w:color="auto"/>
            </w:tcBorders>
            <w:noWrap/>
            <w:vAlign w:val="center"/>
          </w:tcPr>
          <w:p w:rsidR="00AC7DFB" w:rsidRDefault="00AC7DFB"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r>
    </w:tbl>
    <w:p w:rsidR="00CC554F" w:rsidRDefault="00CC554F"/>
    <w:p w:rsidR="00CC554F" w:rsidRDefault="006F5420">
      <w:r>
        <w:rPr>
          <w:noProof/>
        </w:rPr>
        <mc:AlternateContent>
          <mc:Choice Requires="wpg">
            <w:drawing>
              <wp:anchor distT="0" distB="0" distL="114300" distR="114300" simplePos="0" relativeHeight="251658240" behindDoc="0" locked="0" layoutInCell="1" allowOverlap="1" wp14:anchorId="07C155AC" wp14:editId="1F005A5D">
                <wp:simplePos x="0" y="0"/>
                <wp:positionH relativeFrom="column">
                  <wp:posOffset>-76200</wp:posOffset>
                </wp:positionH>
                <wp:positionV relativeFrom="paragraph">
                  <wp:posOffset>12065</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13354" w:rsidRDefault="00013354"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13354" w:rsidRDefault="00013354"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013354" w:rsidRDefault="0001335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13354" w:rsidRDefault="0001335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6pt;margin-top:.95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013354" w:rsidRDefault="00013354"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013354" w:rsidRDefault="00013354"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013354" w:rsidRDefault="0001335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013354" w:rsidRDefault="00013354"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C554F" w:rsidRDefault="00CC554F"/>
    <w:p w:rsidR="00CE243E" w:rsidRDefault="00CE243E"/>
    <w:sectPr w:rsidR="00CE243E" w:rsidSect="00803C82">
      <w:headerReference w:type="default" r:id="rId9"/>
      <w:footerReference w:type="default" r:id="rId10"/>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D9" w:rsidRDefault="009815D9" w:rsidP="001966C1">
      <w:r>
        <w:separator/>
      </w:r>
    </w:p>
  </w:endnote>
  <w:endnote w:type="continuationSeparator" w:id="0">
    <w:p w:rsidR="009815D9" w:rsidRDefault="009815D9"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013354" w:rsidRPr="001966C1" w:rsidRDefault="0001335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013354" w:rsidRPr="001966C1" w:rsidRDefault="00013354">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BD56E2" w:rsidRPr="00BD56E2">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013354" w:rsidRDefault="000133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D9" w:rsidRDefault="009815D9" w:rsidP="001966C1">
      <w:r>
        <w:separator/>
      </w:r>
    </w:p>
  </w:footnote>
  <w:footnote w:type="continuationSeparator" w:id="0">
    <w:p w:rsidR="009815D9" w:rsidRDefault="009815D9"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54" w:rsidRPr="001966C1" w:rsidRDefault="0001335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B754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B75426">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内容」【高等学校】</w:t>
    </w:r>
  </w:p>
  <w:p w:rsidR="00013354" w:rsidRDefault="000133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13354"/>
    <w:rsid w:val="00191A76"/>
    <w:rsid w:val="001966C1"/>
    <w:rsid w:val="001F130E"/>
    <w:rsid w:val="00420B02"/>
    <w:rsid w:val="00471FA2"/>
    <w:rsid w:val="004D58E4"/>
    <w:rsid w:val="00650002"/>
    <w:rsid w:val="00694A29"/>
    <w:rsid w:val="006F5420"/>
    <w:rsid w:val="00803C82"/>
    <w:rsid w:val="0088182C"/>
    <w:rsid w:val="0091116B"/>
    <w:rsid w:val="009815D9"/>
    <w:rsid w:val="00AC7DFB"/>
    <w:rsid w:val="00AE4DB9"/>
    <w:rsid w:val="00B75426"/>
    <w:rsid w:val="00BD56E2"/>
    <w:rsid w:val="00C35FBC"/>
    <w:rsid w:val="00CC554F"/>
    <w:rsid w:val="00CE243E"/>
    <w:rsid w:val="00D26FE8"/>
    <w:rsid w:val="00E33C23"/>
    <w:rsid w:val="00EA263B"/>
    <w:rsid w:val="00F72B72"/>
    <w:rsid w:val="00FA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420B02"/>
    <w:rPr>
      <w:color w:val="0000FF" w:themeColor="hyperlink"/>
      <w:u w:val="single"/>
    </w:rPr>
  </w:style>
  <w:style w:type="character" w:styleId="ab">
    <w:name w:val="FollowedHyperlink"/>
    <w:basedOn w:val="a0"/>
    <w:uiPriority w:val="99"/>
    <w:semiHidden/>
    <w:unhideWhenUsed/>
    <w:rsid w:val="00420B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420B02"/>
    <w:rPr>
      <w:color w:val="0000FF" w:themeColor="hyperlink"/>
      <w:u w:val="single"/>
    </w:rPr>
  </w:style>
  <w:style w:type="character" w:styleId="ab">
    <w:name w:val="FollowedHyperlink"/>
    <w:basedOn w:val="a0"/>
    <w:uiPriority w:val="99"/>
    <w:semiHidden/>
    <w:unhideWhenUsed/>
    <w:rsid w:val="00420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activity.mext.go.jp/ja/contents/1000/131/view.html" TargetMode="External"/><Relationship Id="rId3" Type="http://schemas.openxmlformats.org/officeDocument/2006/relationships/settings" Target="settings.xml"/><Relationship Id="rId7" Type="http://schemas.openxmlformats.org/officeDocument/2006/relationships/hyperlink" Target="http://www.mext.go.jp/b_menu/shuppan/sonota/attach/1314239.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13</cp:revision>
  <cp:lastPrinted>2013-03-01T05:01:00Z</cp:lastPrinted>
  <dcterms:created xsi:type="dcterms:W3CDTF">2013-02-27T09:14:00Z</dcterms:created>
  <dcterms:modified xsi:type="dcterms:W3CDTF">2013-03-03T18:17:00Z</dcterms:modified>
</cp:coreProperties>
</file>