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060C95" w:rsidTr="00E000C7">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60C95" w:rsidRDefault="00060C95" w:rsidP="00E000C7">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（１）地震発生時の津波対応</w:t>
            </w:r>
          </w:p>
        </w:tc>
        <w:tc>
          <w:tcPr>
            <w:tcW w:w="455" w:type="dxa"/>
            <w:vMerge w:val="restart"/>
            <w:tcBorders>
              <w:top w:val="single" w:sz="4" w:space="0" w:color="auto"/>
              <w:left w:val="nil"/>
              <w:right w:val="single" w:sz="4" w:space="0" w:color="auto"/>
            </w:tcBorders>
            <w:noWrap/>
          </w:tcPr>
          <w:p w:rsidR="00060C95" w:rsidRDefault="00060C9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60C95" w:rsidRPr="007D0B42"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060C95" w:rsidRPr="00E000C7" w:rsidRDefault="00060C95" w:rsidP="00FA4AC6">
            <w:pPr>
              <w:jc w:val="center"/>
              <w:rPr>
                <w:rFonts w:hAnsi="ＭＳ 明朝"/>
                <w:kern w:val="0"/>
                <w:sz w:val="20"/>
                <w:szCs w:val="20"/>
              </w:rPr>
            </w:pPr>
            <w:r w:rsidRPr="00E000C7">
              <w:rPr>
                <w:rFonts w:hAnsi="ＭＳ 明朝" w:cs="ＭＳ Ｐゴシック" w:hint="eastAsia"/>
                <w:kern w:val="0"/>
                <w:sz w:val="16"/>
                <w:szCs w:val="16"/>
              </w:rPr>
              <w:t>指導資料</w:t>
            </w:r>
          </w:p>
        </w:tc>
      </w:tr>
      <w:tr w:rsidR="00060C95" w:rsidTr="00FA4AC6">
        <w:trPr>
          <w:trHeight w:val="419"/>
        </w:trPr>
        <w:tc>
          <w:tcPr>
            <w:tcW w:w="393" w:type="dxa"/>
            <w:tcBorders>
              <w:top w:val="single" w:sz="2" w:space="0" w:color="auto"/>
              <w:left w:val="single" w:sz="4" w:space="0" w:color="auto"/>
              <w:bottom w:val="single" w:sz="4" w:space="0" w:color="000000"/>
              <w:right w:val="single" w:sz="4" w:space="0" w:color="auto"/>
            </w:tcBorders>
            <w:noWrap/>
          </w:tcPr>
          <w:p w:rsidR="00060C95" w:rsidRDefault="00060C95" w:rsidP="00060C9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060C95" w:rsidRDefault="00060C95" w:rsidP="00060C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single" w:sz="2" w:space="0" w:color="auto"/>
              <w:left w:val="single" w:sz="4" w:space="0" w:color="auto"/>
              <w:bottom w:val="single" w:sz="4" w:space="0" w:color="auto"/>
              <w:right w:val="single" w:sz="4" w:space="0" w:color="auto"/>
            </w:tcBorders>
            <w:vAlign w:val="center"/>
          </w:tcPr>
          <w:p w:rsidR="00060C95" w:rsidRDefault="00060C95" w:rsidP="00FA4A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060C95" w:rsidRDefault="00060C95" w:rsidP="00060C9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060C95" w:rsidRPr="00CB1FE9" w:rsidRDefault="00060C95" w:rsidP="00060C9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060C95" w:rsidRPr="007D0B42" w:rsidRDefault="00060C95" w:rsidP="00060C95">
            <w:pPr>
              <w:widowControl/>
              <w:jc w:val="center"/>
              <w:rPr>
                <w:rFonts w:ascii="ＭＳ ゴシック" w:eastAsia="ＭＳ ゴシック" w:hAnsi="ＭＳ ゴシック" w:cs="ＭＳ Ｐゴシック"/>
                <w:kern w:val="0"/>
                <w:sz w:val="16"/>
                <w:szCs w:val="16"/>
              </w:rPr>
            </w:pPr>
          </w:p>
        </w:tc>
      </w:tr>
      <w:tr w:rsidR="00FA5034" w:rsidTr="00060C95">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gridSpan w:val="2"/>
            <w:tcBorders>
              <w:top w:val="single" w:sz="12" w:space="0" w:color="auto"/>
              <w:left w:val="nil"/>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FA5034" w:rsidRPr="00ED51D1" w:rsidRDefault="00FA5034" w:rsidP="00FA5034">
            <w:pPr>
              <w:widowControl/>
              <w:jc w:val="left"/>
              <w:rPr>
                <w:rStyle w:val="ab"/>
                <w:sz w:val="18"/>
                <w:szCs w:val="18"/>
              </w:rPr>
            </w:pPr>
            <w:r>
              <w:rPr>
                <w:rFonts w:hint="eastAsia"/>
                <w:sz w:val="18"/>
                <w:szCs w:val="18"/>
              </w:rPr>
              <w:t>・</w:t>
            </w:r>
            <w:r w:rsidR="00ED51D1">
              <w:rPr>
                <w:sz w:val="18"/>
                <w:szCs w:val="18"/>
              </w:rPr>
              <w:fldChar w:fldCharType="begin"/>
            </w:r>
            <w:r w:rsidR="00ED51D1">
              <w:rPr>
                <w:sz w:val="18"/>
                <w:szCs w:val="18"/>
              </w:rPr>
              <w:instrText xml:space="preserve"> HYPERLINK "http://www.tfd.metro.tokyo.jp/lfe/bou_topic/jisin/point10.htm" </w:instrText>
            </w:r>
            <w:r w:rsidR="00ED51D1">
              <w:rPr>
                <w:sz w:val="18"/>
                <w:szCs w:val="18"/>
              </w:rPr>
            </w:r>
            <w:r w:rsidR="00ED51D1">
              <w:rPr>
                <w:sz w:val="18"/>
                <w:szCs w:val="18"/>
              </w:rPr>
              <w:fldChar w:fldCharType="separate"/>
            </w:r>
            <w:r w:rsidRPr="00ED51D1">
              <w:rPr>
                <w:rStyle w:val="ab"/>
                <w:rFonts w:hint="eastAsia"/>
                <w:sz w:val="18"/>
                <w:szCs w:val="18"/>
              </w:rPr>
              <w:t>地震　その時</w:t>
            </w:r>
          </w:p>
          <w:p w:rsidR="00FA5034" w:rsidRDefault="00FA5034" w:rsidP="00ED51D1">
            <w:pPr>
              <w:widowControl/>
              <w:ind w:firstLineChars="100" w:firstLine="180"/>
              <w:jc w:val="left"/>
              <w:rPr>
                <w:sz w:val="18"/>
                <w:szCs w:val="18"/>
              </w:rPr>
            </w:pPr>
            <w:r w:rsidRPr="00ED51D1">
              <w:rPr>
                <w:rStyle w:val="ab"/>
                <w:rFonts w:hint="eastAsia"/>
                <w:sz w:val="18"/>
                <w:szCs w:val="18"/>
              </w:rPr>
              <w:t>10のポイント</w:t>
            </w:r>
            <w:r w:rsidR="00ED51D1">
              <w:rPr>
                <w:sz w:val="18"/>
                <w:szCs w:val="18"/>
              </w:rPr>
              <w:fldChar w:fldCharType="end"/>
            </w:r>
          </w:p>
          <w:p w:rsidR="00FA5034" w:rsidRPr="00C1620B" w:rsidRDefault="00FA5034" w:rsidP="00FA5034">
            <w:pPr>
              <w:widowControl/>
              <w:ind w:firstLineChars="100" w:firstLine="180"/>
              <w:jc w:val="left"/>
              <w:rPr>
                <w:rFonts w:ascii="Century"/>
                <w:b/>
                <w:kern w:val="0"/>
                <w:sz w:val="20"/>
                <w:szCs w:val="20"/>
              </w:rPr>
            </w:pPr>
            <w:r>
              <w:rPr>
                <w:rFonts w:hint="eastAsia"/>
                <w:sz w:val="18"/>
                <w:szCs w:val="18"/>
              </w:rPr>
              <w:t>（東京消防庁）</w:t>
            </w:r>
          </w:p>
        </w:tc>
      </w:tr>
      <w:tr w:rsidR="00FA5034" w:rsidTr="00FA5034">
        <w:trPr>
          <w:trHeight w:val="19"/>
        </w:trPr>
        <w:tc>
          <w:tcPr>
            <w:tcW w:w="393" w:type="dxa"/>
            <w:vMerge/>
            <w:tcBorders>
              <w:top w:val="nil"/>
              <w:left w:val="single" w:sz="4" w:space="0" w:color="auto"/>
              <w:bottom w:val="single" w:sz="4" w:space="0" w:color="000000"/>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single" w:sz="4" w:space="0" w:color="000000"/>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single" w:sz="4" w:space="0" w:color="000000"/>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single" w:sz="4" w:space="0" w:color="auto"/>
              <w:left w:val="nil"/>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val="restart"/>
            <w:tcBorders>
              <w:top w:val="single" w:sz="4" w:space="0" w:color="auto"/>
              <w:left w:val="single" w:sz="4" w:space="0" w:color="auto"/>
              <w:bottom w:val="nil"/>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nil"/>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single" w:sz="4" w:space="0" w:color="auto"/>
              <w:left w:val="nil"/>
              <w:bottom w:val="nil"/>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nil"/>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nil"/>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8"/>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31"/>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0" w:type="dxa"/>
            <w:vMerge w:val="restart"/>
            <w:tcBorders>
              <w:top w:val="single" w:sz="4" w:space="0" w:color="auto"/>
              <w:left w:val="nil"/>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津波警報・津波注意報を利用するにあたっての留意事項を知る。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は，「大津波警報」「津波警報」「津波注意報」に分類され，「津波注意報」は海中や海岸付近にいる人等への注意の呼びかけ，「津波警報」は陸域に対する警戒の呼びかけ，「大津波」の場合は陸域における厳重な警戒の呼びかけという意味である。</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5"/>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海岸付近の低地や，太平洋沿岸で地盤沈下のあった地域等，浸水しやすくなっている所では，津波注意報でも避難が必要な場合がある。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5034">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津波の発生場所によっては，津波警報が間に合わないことがある。</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0B294E" w:rsidTr="00060C95">
        <w:trPr>
          <w:trHeight w:val="3215"/>
        </w:trPr>
        <w:tc>
          <w:tcPr>
            <w:tcW w:w="9781" w:type="dxa"/>
            <w:gridSpan w:val="9"/>
            <w:tcBorders>
              <w:top w:val="single" w:sz="4" w:space="0" w:color="auto"/>
            </w:tcBorders>
            <w:noWrap/>
          </w:tcPr>
          <w:p w:rsidR="000B294E" w:rsidRPr="00B32766" w:rsidRDefault="000B294E">
            <w:pPr>
              <w:rPr>
                <w:noProof/>
              </w:rPr>
            </w:pPr>
          </w:p>
          <w:p w:rsidR="000B294E" w:rsidRDefault="00E000C7" w:rsidP="00D06ED1">
            <w:pPr>
              <w:spacing w:line="240" w:lineRule="exact"/>
              <w:jc w:val="center"/>
              <w:rPr>
                <w:rFonts w:ascii="ＭＳ Ｐゴシック" w:eastAsia="ＭＳ Ｐゴシック" w:hAnsi="ＭＳ Ｐゴシック" w:cs="ＭＳ Ｐゴシック"/>
                <w:kern w:val="0"/>
                <w:sz w:val="20"/>
                <w:szCs w:val="20"/>
              </w:rPr>
            </w:pPr>
            <w:r w:rsidRPr="00B32766">
              <w:rPr>
                <w:noProof/>
              </w:rPr>
              <mc:AlternateContent>
                <mc:Choice Requires="wpg">
                  <w:drawing>
                    <wp:anchor distT="0" distB="0" distL="114300" distR="114300" simplePos="0" relativeHeight="251664384" behindDoc="0" locked="0" layoutInCell="1" allowOverlap="1" wp14:anchorId="0198CF5C" wp14:editId="5E57AC00">
                      <wp:simplePos x="0" y="0"/>
                      <wp:positionH relativeFrom="column">
                        <wp:posOffset>-117475</wp:posOffset>
                      </wp:positionH>
                      <wp:positionV relativeFrom="paragraph">
                        <wp:posOffset>81280</wp:posOffset>
                      </wp:positionV>
                      <wp:extent cx="6400165" cy="448945"/>
                      <wp:effectExtent l="0" t="0" r="19685" b="825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8" name="テキスト ボックス 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B294E" w:rsidRDefault="000B294E" w:rsidP="00E000C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0B294E" w:rsidRDefault="000B294E"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0B294E" w:rsidRDefault="000B294E"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0B294E" w:rsidRDefault="000B294E"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9.25pt;margin-top:6.4pt;width:503.95pt;height:35.35pt;z-index:251664384"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">
                      <v:shapetype id="_x0000_t202" coordsize="21600,21600" o:spt="202" path="m,l,21600r21600,l21600,xe">
                        <v:stroke joinstyle="miter"/>
                        <v:path gradientshapeok="t" o:connecttype="rect"/>
                      </v:shapetype>
                      <v:shape id="テキスト ボックス 8"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0B294E" w:rsidRDefault="000B294E" w:rsidP="00E000C7">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0B294E" w:rsidRDefault="000B294E"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0B294E" w:rsidRDefault="000B294E"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0B294E" w:rsidRDefault="000B294E"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rPr>
                <w:rFonts w:ascii="ＭＳ Ｐゴシック" w:eastAsia="ＭＳ Ｐゴシック" w:hAnsi="ＭＳ Ｐゴシック" w:cs="ＭＳ Ｐゴシック"/>
                <w:kern w:val="0"/>
                <w:sz w:val="20"/>
                <w:szCs w:val="20"/>
              </w:rPr>
            </w:pPr>
          </w:p>
          <w:p w:rsidR="000B294E" w:rsidRDefault="000B294E" w:rsidP="00D06ED1">
            <w:pPr>
              <w:spacing w:line="240" w:lineRule="exact"/>
              <w:jc w:val="center"/>
            </w:pPr>
          </w:p>
        </w:tc>
      </w:tr>
      <w:tr w:rsidR="000B294E" w:rsidTr="00E000C7">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B294E" w:rsidRDefault="000B294E" w:rsidP="00E000C7">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0B294E" w:rsidRDefault="000B294E"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0B294E" w:rsidRDefault="000B294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B294E" w:rsidRDefault="000B294E"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B294E" w:rsidRDefault="000B294E" w:rsidP="00D06ED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0B294E" w:rsidRDefault="000B294E" w:rsidP="00D06ED1">
            <w:pPr>
              <w:widowControl/>
              <w:spacing w:line="240" w:lineRule="exact"/>
              <w:jc w:val="center"/>
              <w:rPr>
                <w:rFonts w:ascii="ＭＳ ゴシック" w:eastAsia="ＭＳ ゴシック" w:hAnsi="ＭＳ ゴシック" w:cs="ＭＳ Ｐゴシック"/>
                <w:kern w:val="0"/>
                <w:sz w:val="16"/>
                <w:szCs w:val="16"/>
              </w:rPr>
            </w:pPr>
          </w:p>
          <w:p w:rsidR="000B294E" w:rsidRPr="00E000C7" w:rsidRDefault="000B294E" w:rsidP="00D06ED1">
            <w:pPr>
              <w:widowControl/>
              <w:spacing w:line="240" w:lineRule="exact"/>
              <w:jc w:val="center"/>
              <w:rPr>
                <w:rFonts w:hAnsi="ＭＳ 明朝" w:cs="ＭＳ Ｐゴシック"/>
                <w:kern w:val="0"/>
                <w:sz w:val="16"/>
                <w:szCs w:val="16"/>
              </w:rPr>
            </w:pPr>
            <w:r w:rsidRPr="00E000C7">
              <w:rPr>
                <w:rFonts w:hAnsi="ＭＳ 明朝" w:cs="ＭＳ Ｐゴシック" w:hint="eastAsia"/>
                <w:kern w:val="0"/>
                <w:sz w:val="16"/>
                <w:szCs w:val="16"/>
              </w:rPr>
              <w:t>指導資料</w:t>
            </w:r>
          </w:p>
        </w:tc>
      </w:tr>
      <w:tr w:rsidR="000B294E" w:rsidTr="00FA4AC6">
        <w:trPr>
          <w:trHeight w:val="447"/>
        </w:trPr>
        <w:tc>
          <w:tcPr>
            <w:tcW w:w="393" w:type="dxa"/>
            <w:tcBorders>
              <w:top w:val="nil"/>
              <w:left w:val="single" w:sz="4" w:space="0" w:color="auto"/>
              <w:bottom w:val="single" w:sz="12" w:space="0" w:color="auto"/>
              <w:right w:val="single" w:sz="4" w:space="0" w:color="auto"/>
            </w:tcBorders>
            <w:noWrap/>
          </w:tcPr>
          <w:p w:rsidR="000B294E" w:rsidRDefault="000B294E" w:rsidP="00D06ED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0B294E" w:rsidRDefault="000B294E"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0B294E" w:rsidRDefault="000B294E"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0B294E" w:rsidRDefault="000B294E" w:rsidP="00D06ED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0B294E" w:rsidRDefault="000B294E" w:rsidP="00D06ED1">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0B294E" w:rsidRDefault="000B294E" w:rsidP="00D06ED1">
            <w:pPr>
              <w:widowControl/>
              <w:jc w:val="left"/>
              <w:rPr>
                <w:rFonts w:ascii="ＭＳ ゴシック" w:eastAsia="ＭＳ ゴシック" w:hAnsi="ＭＳ ゴシック" w:cs="ＭＳ Ｐゴシック"/>
                <w:kern w:val="0"/>
                <w:sz w:val="16"/>
                <w:szCs w:val="16"/>
              </w:rPr>
            </w:pPr>
          </w:p>
        </w:tc>
      </w:tr>
      <w:tr w:rsidR="00FA5034" w:rsidTr="00C228E6">
        <w:trPr>
          <w:trHeight w:val="23"/>
        </w:trPr>
        <w:tc>
          <w:tcPr>
            <w:tcW w:w="393" w:type="dxa"/>
            <w:tcBorders>
              <w:top w:val="single" w:sz="12"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tcBorders>
              <w:top w:val="single" w:sz="12" w:space="0" w:color="auto"/>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津波発生のメカニズムについて知る。</w:t>
            </w:r>
          </w:p>
        </w:tc>
        <w:tc>
          <w:tcPr>
            <w:tcW w:w="282" w:type="dxa"/>
            <w:gridSpan w:val="2"/>
            <w:tcBorders>
              <w:top w:val="single" w:sz="12"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海底下で大きな地震が発生すると，断層運動により海底が隆起もしくは沈降し，これに伴って海面が変動し，大きな波となって四方八方に伝播するものが津波である。</w:t>
            </w:r>
          </w:p>
        </w:tc>
        <w:tc>
          <w:tcPr>
            <w:tcW w:w="455" w:type="dxa"/>
            <w:tcBorders>
              <w:top w:val="single" w:sz="12"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single" w:sz="4" w:space="0" w:color="auto"/>
              <w:right w:val="single" w:sz="4" w:space="0" w:color="auto"/>
            </w:tcBorders>
          </w:tcPr>
          <w:p w:rsidR="00FA5034" w:rsidRDefault="00FA5034" w:rsidP="00FA5034">
            <w:pPr>
              <w:widowControl/>
              <w:spacing w:line="240" w:lineRule="exact"/>
              <w:ind w:left="240" w:hangingChars="100" w:hanging="240"/>
              <w:jc w:val="left"/>
              <w:rPr>
                <w:rFonts w:ascii="ＭＳ ゴシック" w:eastAsia="ＭＳ ゴシック" w:hAnsi="ＭＳ ゴシック" w:cs="ＭＳ Ｐゴシック"/>
                <w:kern w:val="0"/>
                <w:sz w:val="16"/>
                <w:szCs w:val="16"/>
              </w:rPr>
            </w:pPr>
            <w:r>
              <w:rPr>
                <w:rFonts w:hint="eastAsia"/>
              </w:rPr>
              <w:t>・</w:t>
            </w:r>
            <w:hyperlink r:id="rId9" w:history="1">
              <w:r w:rsidRPr="00B64CB7">
                <w:rPr>
                  <w:rStyle w:val="ab"/>
                  <w:rFonts w:hint="eastAsia"/>
                  <w:sz w:val="18"/>
                  <w:szCs w:val="18"/>
                </w:rPr>
                <w:t>津波防災啓発　　ビデオ「津波からにげる」</w:t>
              </w:r>
            </w:hyperlink>
            <w:bookmarkStart w:id="0" w:name="_GoBack"/>
            <w:bookmarkEnd w:id="0"/>
            <w:r>
              <w:rPr>
                <w:rFonts w:hint="eastAsia"/>
                <w:sz w:val="18"/>
                <w:szCs w:val="18"/>
              </w:rPr>
              <w:t xml:space="preserve">　　　　（気象庁）</w:t>
            </w:r>
          </w:p>
        </w:tc>
      </w:tr>
      <w:tr w:rsidR="00FA5034" w:rsidTr="002F54E0">
        <w:trPr>
          <w:trHeight w:val="950"/>
        </w:trPr>
        <w:tc>
          <w:tcPr>
            <w:tcW w:w="393" w:type="dxa"/>
            <w:tcBorders>
              <w:top w:val="nil"/>
              <w:left w:val="single" w:sz="4" w:space="0" w:color="auto"/>
              <w:bottom w:val="nil"/>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right w:val="nil"/>
            </w:tcBorders>
          </w:tcPr>
          <w:p w:rsidR="00FA5034" w:rsidRDefault="00FA5034" w:rsidP="00D06ED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2F54E0">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2F54E0">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Pr="00E000C7" w:rsidRDefault="00FA5034" w:rsidP="00D06ED1">
            <w:pPr>
              <w:widowControl/>
              <w:spacing w:line="240" w:lineRule="exact"/>
              <w:jc w:val="left"/>
              <w:rPr>
                <w:rFonts w:ascii="ＭＳ Ｐゴシック" w:eastAsia="ＭＳ Ｐゴシック" w:hAnsi="ＭＳ Ｐゴシック" w:cs="ＭＳ Ｐゴシック"/>
                <w:w w:val="90"/>
                <w:kern w:val="0"/>
                <w:sz w:val="18"/>
                <w:szCs w:val="18"/>
              </w:rPr>
            </w:pPr>
            <w:r w:rsidRPr="00E000C7">
              <w:rPr>
                <w:rFonts w:ascii="ＭＳ Ｐゴシック" w:eastAsia="ＭＳ Ｐゴシック" w:hAnsi="ＭＳ Ｐゴシック" w:cs="ＭＳ Ｐゴシック" w:hint="eastAsia"/>
                <w:w w:val="90"/>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B05937">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B05937">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B05937">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5101B">
        <w:trPr>
          <w:trHeight w:val="8"/>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5101B">
        <w:trPr>
          <w:trHeight w:val="4"/>
        </w:trPr>
        <w:tc>
          <w:tcPr>
            <w:tcW w:w="393" w:type="dxa"/>
            <w:vMerge w:val="restart"/>
            <w:tcBorders>
              <w:top w:val="nil"/>
              <w:left w:val="single" w:sz="4" w:space="0" w:color="auto"/>
              <w:bottom w:val="nil"/>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5101B">
        <w:trPr>
          <w:trHeight w:val="4"/>
        </w:trPr>
        <w:tc>
          <w:tcPr>
            <w:tcW w:w="393" w:type="dxa"/>
            <w:vMerge/>
            <w:tcBorders>
              <w:top w:val="nil"/>
              <w:left w:val="single" w:sz="4" w:space="0" w:color="auto"/>
              <w:bottom w:val="nil"/>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5101B">
        <w:trPr>
          <w:trHeight w:val="8"/>
        </w:trPr>
        <w:tc>
          <w:tcPr>
            <w:tcW w:w="393" w:type="dxa"/>
            <w:vMerge/>
            <w:tcBorders>
              <w:top w:val="nil"/>
              <w:left w:val="single" w:sz="4" w:space="0" w:color="auto"/>
              <w:bottom w:val="nil"/>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5101B">
        <w:trPr>
          <w:trHeight w:val="12"/>
        </w:trPr>
        <w:tc>
          <w:tcPr>
            <w:tcW w:w="393" w:type="dxa"/>
            <w:vMerge/>
            <w:tcBorders>
              <w:top w:val="nil"/>
              <w:left w:val="single" w:sz="4" w:space="0" w:color="auto"/>
              <w:bottom w:val="nil"/>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872DFA">
        <w:trPr>
          <w:trHeight w:val="12"/>
        </w:trPr>
        <w:tc>
          <w:tcPr>
            <w:tcW w:w="393" w:type="dxa"/>
            <w:vMerge/>
            <w:tcBorders>
              <w:top w:val="nil"/>
              <w:left w:val="single" w:sz="4" w:space="0" w:color="auto"/>
              <w:bottom w:val="nil"/>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655CE">
        <w:trPr>
          <w:trHeight w:val="8"/>
        </w:trPr>
        <w:tc>
          <w:tcPr>
            <w:tcW w:w="393" w:type="dxa"/>
            <w:tcBorders>
              <w:top w:val="single" w:sz="4" w:space="0" w:color="auto"/>
              <w:left w:val="single" w:sz="4" w:space="0" w:color="auto"/>
              <w:bottom w:val="nil"/>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FA5034" w:rsidRPr="005C3FD0" w:rsidRDefault="00FA5034" w:rsidP="00D06ED1">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FA5034" w:rsidRPr="00D81BB7"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655CE">
        <w:trPr>
          <w:trHeight w:val="15"/>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p>
        </w:tc>
        <w:tc>
          <w:tcPr>
            <w:tcW w:w="1777" w:type="dxa"/>
            <w:gridSpan w:val="2"/>
            <w:vMerge w:val="restart"/>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津波の高さは地形などによって，大きく異なることを知る。</w:t>
            </w: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FA5034" w:rsidRPr="005C3FD0" w:rsidRDefault="00FA5034" w:rsidP="00D06ED1">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津波の高さは，海底の地形や湾の形など，場所によって大きく変化する。海岸近くでは津波の高さは沖合の何倍にも増すことがある。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655CE">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FA5034" w:rsidRPr="003F4C37" w:rsidRDefault="00FA5034" w:rsidP="00D06ED1">
            <w:pPr>
              <w:widowControl/>
              <w:spacing w:line="240" w:lineRule="exact"/>
              <w:jc w:val="left"/>
              <w:rPr>
                <w:rFonts w:ascii="ＭＳ Ｐゴシック" w:eastAsia="ＭＳ Ｐゴシック" w:hAnsi="ＭＳ Ｐゴシック" w:cs="ＭＳ Ｐゴシック"/>
                <w:w w:val="90"/>
                <w:kern w:val="0"/>
                <w:sz w:val="18"/>
                <w:szCs w:val="18"/>
              </w:rPr>
            </w:pPr>
            <w:r w:rsidRPr="003F4C37">
              <w:rPr>
                <w:rFonts w:ascii="ＭＳ Ｐゴシック" w:eastAsia="ＭＳ Ｐゴシック" w:hAnsi="ＭＳ Ｐゴシック" w:cs="ＭＳ Ｐゴシック" w:hint="eastAsia"/>
                <w:w w:val="90"/>
                <w:kern w:val="0"/>
                <w:sz w:val="18"/>
                <w:szCs w:val="18"/>
              </w:rPr>
              <w:t>湾の奥などでは，波が集中するので，特に津波が高くなりやすい。</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655CE">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岬の先端も津波が集中するので高くなりやすい。</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C3FE4">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shd w:val="clear" w:color="auto" w:fill="FFFFFF"/>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津波の発生場所や津波の性質によっては津波が高くなりやすい場所が異なる。岩手県宮古湾の例：昭和三陸地震では湾奥より湾口が高かった。1960年チリ地震津波では，湾口より湾奥が高かった。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C3FE4">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C3FE4">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8646D">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A8646D">
        <w:trPr>
          <w:trHeight w:val="12"/>
        </w:trPr>
        <w:tc>
          <w:tcPr>
            <w:tcW w:w="393" w:type="dxa"/>
            <w:vMerge w:val="restart"/>
            <w:tcBorders>
              <w:top w:val="nil"/>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77" w:type="dxa"/>
            <w:gridSpan w:val="2"/>
            <w:vMerge w:val="restart"/>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34E73">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34E73">
        <w:trPr>
          <w:trHeight w:val="8"/>
        </w:trPr>
        <w:tc>
          <w:tcPr>
            <w:tcW w:w="393" w:type="dxa"/>
            <w:vMerge w:val="restart"/>
            <w:tcBorders>
              <w:top w:val="nil"/>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77" w:type="dxa"/>
            <w:gridSpan w:val="2"/>
            <w:vMerge w:val="restart"/>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shd w:val="clear" w:color="auto" w:fill="FFFFFF"/>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34E73">
        <w:trPr>
          <w:trHeight w:val="8"/>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34E73">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shd w:val="clear" w:color="auto" w:fill="FFFFFF"/>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東北地方の太平洋沿岸では，過去の災害での経験を踏まえ，津波に対する備えが進められてきた。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34E73">
        <w:trPr>
          <w:trHeight w:val="257"/>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過去の津波被害状況を踏まえ，防波堤などが造られている。</w:t>
            </w:r>
          </w:p>
        </w:tc>
        <w:tc>
          <w:tcPr>
            <w:tcW w:w="455" w:type="dxa"/>
            <w:tcBorders>
              <w:top w:val="nil"/>
              <w:left w:val="nil"/>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34E73">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shd w:val="clear" w:color="auto" w:fill="auto"/>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C06613">
        <w:trPr>
          <w:trHeight w:val="19"/>
        </w:trPr>
        <w:tc>
          <w:tcPr>
            <w:tcW w:w="393" w:type="dxa"/>
            <w:vMerge w:val="restart"/>
            <w:tcBorders>
              <w:top w:val="nil"/>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⑪</w:t>
            </w:r>
          </w:p>
        </w:tc>
        <w:tc>
          <w:tcPr>
            <w:tcW w:w="1777" w:type="dxa"/>
            <w:gridSpan w:val="2"/>
            <w:vMerge w:val="restart"/>
            <w:tcBorders>
              <w:top w:val="nil"/>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sidRPr="005A4FCE">
              <w:rPr>
                <w:rFonts w:ascii="ＭＳ Ｐゴシック" w:eastAsia="ＭＳ Ｐゴシック" w:hAnsi="ＭＳ Ｐゴシック" w:cs="ＭＳ Ｐゴシック" w:hint="eastAsia"/>
                <w:kern w:val="0"/>
                <w:sz w:val="18"/>
                <w:szCs w:val="18"/>
              </w:rPr>
              <w:t>『正常化の偏見』と</w:t>
            </w:r>
            <w:r>
              <w:rPr>
                <w:rFonts w:ascii="ＭＳ Ｐゴシック" w:eastAsia="ＭＳ Ｐゴシック" w:hAnsi="ＭＳ Ｐゴシック" w:cs="ＭＳ Ｐゴシック" w:hint="eastAsia"/>
                <w:kern w:val="0"/>
                <w:sz w:val="18"/>
                <w:szCs w:val="18"/>
              </w:rPr>
              <w:t>は，非常ベルがなったり，警報が出たりしても，間違いだろうと考え，その危険を認めようとしない心理傾向をいう。</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C06613">
        <w:trPr>
          <w:trHeight w:val="8"/>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『正常化の偏見』が避難行動に大きな影響を与える。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4AC6">
        <w:trPr>
          <w:trHeight w:val="23"/>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津波警報が出る前に津波が襲来することがあることを実例から知る。1993年奥尻島では地震発生後３分で大津波が襲い198名の犠牲者が出たが，津波警報が発せられたのは地震から５分後であった。</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4AC6">
        <w:trPr>
          <w:trHeight w:val="15"/>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津波がくる前には必ず警報や注意報が出されるとは限らない。何らかの理由で警報等が遅れる場合がある。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526451">
        <w:trPr>
          <w:trHeight w:val="23"/>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の予報は，「空振りはするかもしれないが，見逃しは絶対にしない」という考え方で発表されている。たとえ避難が空振りになったとしても「今回は空振りで終わって良かった」と喜べるような心構えと余裕を持つ。</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526451">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⑬</w:t>
            </w:r>
          </w:p>
        </w:tc>
        <w:tc>
          <w:tcPr>
            <w:tcW w:w="1777" w:type="dxa"/>
            <w:gridSpan w:val="2"/>
            <w:vMerge w:val="restart"/>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津波の複雑な特徴を予想するには限界があることを知る。</w:t>
            </w:r>
          </w:p>
        </w:tc>
        <w:tc>
          <w:tcPr>
            <w:tcW w:w="282" w:type="dxa"/>
            <w:gridSpan w:val="2"/>
            <w:tcBorders>
              <w:top w:val="single" w:sz="4" w:space="0" w:color="auto"/>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津波は沿岸の地形などの影響で局所的に高くなることがある。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最初に到達する津波よりも後から繰り返しやってくる津波の方が高く強くなることが多い。</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4AC6">
        <w:trPr>
          <w:trHeight w:val="19"/>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同じ津波でも，場所によって予想された津波の高さより低かったり，到達時刻が遅かったりすることや，予想より高く，早く津波が来襲することがある。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r w:rsidR="00FA5034"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FA5034" w:rsidRDefault="00FA5034"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FA5034" w:rsidRDefault="00FA5034"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FA5034" w:rsidRDefault="00FA5034"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観測される津波の高さは予想値と比較して，半分程度に留まることもあれば，２倍程度大きくなることもある。</w:t>
            </w:r>
          </w:p>
        </w:tc>
        <w:tc>
          <w:tcPr>
            <w:tcW w:w="455" w:type="dxa"/>
            <w:tcBorders>
              <w:top w:val="nil"/>
              <w:left w:val="nil"/>
              <w:bottom w:val="single" w:sz="4" w:space="0" w:color="auto"/>
              <w:right w:val="single" w:sz="4" w:space="0" w:color="auto"/>
            </w:tcBorders>
            <w:noWrap/>
            <w:vAlign w:val="center"/>
          </w:tcPr>
          <w:p w:rsidR="00FA5034" w:rsidRDefault="00FA5034"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FA5034" w:rsidRDefault="00FA5034" w:rsidP="00D06ED1">
            <w:pPr>
              <w:widowControl/>
              <w:spacing w:line="240" w:lineRule="exact"/>
              <w:jc w:val="center"/>
              <w:rPr>
                <w:rFonts w:ascii="ＭＳ ゴシック" w:eastAsia="ＭＳ ゴシック" w:hAnsi="ＭＳ ゴシック" w:cs="ＭＳ Ｐゴシック"/>
                <w:kern w:val="0"/>
                <w:sz w:val="16"/>
                <w:szCs w:val="16"/>
              </w:rPr>
            </w:pPr>
          </w:p>
        </w:tc>
      </w:tr>
    </w:tbl>
    <w:p w:rsidR="00397689" w:rsidRDefault="00397689"/>
    <w:p w:rsidR="00CE243E" w:rsidRDefault="0088182C">
      <w:r>
        <w:rPr>
          <w:noProof/>
        </w:rP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66040</wp:posOffset>
                </wp:positionV>
                <wp:extent cx="6400165" cy="449186"/>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5.2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70" w:rsidRDefault="00990E70" w:rsidP="001966C1">
      <w:r>
        <w:separator/>
      </w:r>
    </w:p>
  </w:endnote>
  <w:endnote w:type="continuationSeparator" w:id="0">
    <w:p w:rsidR="00990E70" w:rsidRDefault="00990E70"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85772C">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津波災害時の安全</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B64CB7" w:rsidRPr="00B64CB7">
          <w:rPr>
            <w:rFonts w:asciiTheme="majorEastAsia" w:eastAsiaTheme="majorEastAsia" w:hAnsiTheme="majorEastAsia"/>
            <w:noProof/>
            <w:sz w:val="18"/>
            <w:szCs w:val="18"/>
            <w:lang w:val="ja-JP"/>
          </w:rPr>
          <w:t>2</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70" w:rsidRDefault="00990E70" w:rsidP="001966C1">
      <w:r>
        <w:separator/>
      </w:r>
    </w:p>
  </w:footnote>
  <w:footnote w:type="continuationSeparator" w:id="0">
    <w:p w:rsidR="00990E70" w:rsidRDefault="00990E70"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E000C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E000C7">
      <w:rPr>
        <w:rFonts w:asciiTheme="majorEastAsia" w:eastAsiaTheme="majorEastAsia" w:hAnsiTheme="majorEastAsia" w:hint="eastAsia"/>
        <w:sz w:val="18"/>
        <w:szCs w:val="18"/>
      </w:rPr>
      <w:t>必ず身に付けさせたい事項と内容</w:t>
    </w:r>
    <w:r>
      <w:rPr>
        <w:rFonts w:asciiTheme="majorEastAsia" w:eastAsiaTheme="majorEastAsia" w:hAnsiTheme="majorEastAsia" w:hint="eastAsia"/>
        <w:sz w:val="18"/>
        <w:szCs w:val="18"/>
      </w:rPr>
      <w:t>」【</w:t>
    </w:r>
    <w:r w:rsidR="000B294E">
      <w:rPr>
        <w:rFonts w:asciiTheme="majorEastAsia" w:eastAsiaTheme="majorEastAsia" w:hAnsiTheme="majorEastAsia" w:hint="eastAsia"/>
        <w:sz w:val="18"/>
        <w:szCs w:val="18"/>
      </w:rPr>
      <w:t>小学校高学年</w:t>
    </w:r>
    <w:r>
      <w:rPr>
        <w:rFonts w:asciiTheme="majorEastAsia" w:eastAsiaTheme="majorEastAsia" w:hAnsiTheme="majorEastAsia" w:hint="eastAsia"/>
        <w:sz w:val="18"/>
        <w:szCs w:val="18"/>
      </w:rPr>
      <w:t>】</w:t>
    </w:r>
  </w:p>
  <w:p w:rsidR="001966C1" w:rsidRDefault="001966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60C95"/>
    <w:rsid w:val="000B294E"/>
    <w:rsid w:val="001966C1"/>
    <w:rsid w:val="001F130E"/>
    <w:rsid w:val="00397689"/>
    <w:rsid w:val="00650002"/>
    <w:rsid w:val="007D0B42"/>
    <w:rsid w:val="0085772C"/>
    <w:rsid w:val="0088182C"/>
    <w:rsid w:val="00990E70"/>
    <w:rsid w:val="00B02A6E"/>
    <w:rsid w:val="00B64CB7"/>
    <w:rsid w:val="00C1620B"/>
    <w:rsid w:val="00CB1FE9"/>
    <w:rsid w:val="00CE243E"/>
    <w:rsid w:val="00D26FE8"/>
    <w:rsid w:val="00E000C7"/>
    <w:rsid w:val="00ED51D1"/>
    <w:rsid w:val="00F85418"/>
    <w:rsid w:val="00FA4AC6"/>
    <w:rsid w:val="00FA5034"/>
    <w:rsid w:val="00FB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ma.go.jp/jma/kishou/books/tsunami_dv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544D-A1D5-40DB-BD6A-5C5B3A86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6</cp:revision>
  <cp:lastPrinted>2013-02-27T07:01:00Z</cp:lastPrinted>
  <dcterms:created xsi:type="dcterms:W3CDTF">2013-02-28T05:10:00Z</dcterms:created>
  <dcterms:modified xsi:type="dcterms:W3CDTF">2013-03-01T07:52:00Z</dcterms:modified>
</cp:coreProperties>
</file>